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firstLine="640"/>
        <w:jc w:val="right"/>
        <w:rPr>
          <w:rFonts w:hint="eastAsia" w:ascii="Times New Roman" w:hAnsi="Times New Roman" w:eastAsia="方正楷体简体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60" w:lineRule="exact"/>
        <w:ind w:firstLine="440" w:firstLineChars="100"/>
        <w:jc w:val="both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年县级财政预算调整方案的报告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方正黑体简体"/>
          <w:sz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黑体简体"/>
          <w:sz w:val="32"/>
        </w:rPr>
      </w:pPr>
      <w:r>
        <w:rPr>
          <w:rFonts w:hint="eastAsia" w:ascii="Times New Roman" w:hAnsi="Times New Roman" w:eastAsia="方正黑体简体"/>
          <w:sz w:val="32"/>
        </w:rPr>
        <w:t>一、202</w:t>
      </w:r>
      <w:r>
        <w:rPr>
          <w:rFonts w:hint="eastAsia" w:ascii="Times New Roman" w:hAnsi="Times New Roman" w:eastAsia="方正黑体简体"/>
          <w:sz w:val="32"/>
          <w:lang w:val="en-US" w:eastAsia="zh-CN"/>
        </w:rPr>
        <w:t>2</w:t>
      </w:r>
      <w:r>
        <w:rPr>
          <w:rFonts w:hint="eastAsia" w:ascii="Times New Roman" w:hAnsi="Times New Roman" w:eastAsia="方正黑体简体"/>
          <w:sz w:val="32"/>
        </w:rPr>
        <w:t>年地方政府债务变化情况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方正仿宋简体"/>
          <w:sz w:val="32"/>
          <w:highlight w:val="none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年省政府转贷我县新增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一般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债券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7081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简体"/>
          <w:sz w:val="32"/>
          <w:highlight w:val="none"/>
        </w:rPr>
        <w:t>对应调增一般公共预算支出</w:t>
      </w:r>
      <w:r>
        <w:rPr>
          <w:rFonts w:hint="eastAsia" w:ascii="Times New Roman" w:hAnsi="Times New Roman" w:eastAsia="方正仿宋简体"/>
          <w:sz w:val="32"/>
          <w:highlight w:val="none"/>
          <w:lang w:val="en-US" w:eastAsia="zh-CN"/>
        </w:rPr>
        <w:t>7081</w:t>
      </w:r>
      <w:r>
        <w:rPr>
          <w:rFonts w:hint="eastAsia" w:ascii="Times New Roman" w:hAnsi="Times New Roman" w:eastAsia="方正仿宋简体"/>
          <w:sz w:val="32"/>
          <w:highlight w:val="none"/>
        </w:rPr>
        <w:t>万元。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年省政府转贷我县新增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专项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债券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54900</w:t>
      </w:r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7月26日已对应调整支出31900万元，本次</w:t>
      </w:r>
      <w:r>
        <w:rPr>
          <w:rFonts w:hint="eastAsia" w:ascii="Times New Roman" w:hAnsi="Times New Roman" w:eastAsia="方正仿宋简体"/>
          <w:sz w:val="32"/>
          <w:highlight w:val="none"/>
        </w:rPr>
        <w:t>对应调增</w:t>
      </w:r>
      <w:r>
        <w:rPr>
          <w:rFonts w:hint="eastAsia" w:ascii="Times New Roman" w:hAnsi="Times New Roman" w:eastAsia="方正仿宋简体"/>
          <w:sz w:val="32"/>
          <w:highlight w:val="none"/>
          <w:lang w:eastAsia="zh-CN"/>
        </w:rPr>
        <w:t>政府性基金预算</w:t>
      </w:r>
      <w:r>
        <w:rPr>
          <w:rFonts w:hint="eastAsia" w:ascii="Times New Roman" w:hAnsi="Times New Roman" w:eastAsia="方正仿宋简体"/>
          <w:sz w:val="32"/>
          <w:highlight w:val="none"/>
        </w:rPr>
        <w:t>支出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23000</w:t>
      </w:r>
      <w:r>
        <w:rPr>
          <w:rFonts w:hint="eastAsia" w:ascii="Times New Roman" w:hAnsi="Times New Roman" w:eastAsia="方正仿宋简体"/>
          <w:sz w:val="32"/>
          <w:highlight w:val="none"/>
        </w:rPr>
        <w:t>万元。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黑体简体"/>
          <w:sz w:val="32"/>
        </w:rPr>
      </w:pPr>
      <w:r>
        <w:rPr>
          <w:rFonts w:hint="eastAsia" w:ascii="Times New Roman" w:hAnsi="Times New Roman" w:eastAsia="方正黑体简体"/>
          <w:sz w:val="32"/>
        </w:rPr>
        <w:t>二、202</w:t>
      </w:r>
      <w:r>
        <w:rPr>
          <w:rFonts w:hint="eastAsia" w:ascii="Times New Roman" w:hAnsi="Times New Roman" w:eastAsia="方正黑体简体"/>
          <w:sz w:val="32"/>
          <w:lang w:val="en-US" w:eastAsia="zh-CN"/>
        </w:rPr>
        <w:t>2</w:t>
      </w:r>
      <w:r>
        <w:rPr>
          <w:rFonts w:hint="eastAsia" w:ascii="Times New Roman" w:hAnsi="Times New Roman" w:eastAsia="方正黑体简体"/>
          <w:sz w:val="32"/>
        </w:rPr>
        <w:t>年县级预算调整方案</w:t>
      </w:r>
    </w:p>
    <w:p>
      <w:pPr>
        <w:snapToGrid w:val="0"/>
        <w:spacing w:line="58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</w:rPr>
        <w:t>（一）一般公共预算调整</w:t>
      </w:r>
    </w:p>
    <w:p>
      <w:pPr>
        <w:snapToGrid w:val="0"/>
        <w:spacing w:line="580" w:lineRule="exact"/>
        <w:ind w:firstLine="643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日县第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十七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届人民代表大会常务委员会第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六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次会议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审查批准的2022年县级财政预算调整方案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为：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县级一般公共预算收入预算为121600万元，加上级补助收入410898万元、调入资金67470万元和一般债券转贷收入42689万元，减上解支出35586万元、一般债券还本42689万元和补助乡镇支出56756万元后，可安排财力为507626万元。按照收支平衡原则，安排县级一般公共预算支出预算507626万元。</w:t>
      </w:r>
    </w:p>
    <w:p>
      <w:pPr>
        <w:snapToGrid w:val="0"/>
        <w:spacing w:line="580" w:lineRule="exact"/>
        <w:ind w:firstLine="643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本次拟调整为：</w:t>
      </w:r>
      <w:r>
        <w:rPr>
          <w:rFonts w:hint="eastAsia" w:ascii="Times New Roman" w:hAnsi="Times New Roman" w:eastAsia="方正仿宋简体"/>
          <w:sz w:val="32"/>
          <w:szCs w:val="32"/>
        </w:rPr>
        <w:t>县级</w:t>
      </w:r>
      <w:r>
        <w:rPr>
          <w:rFonts w:ascii="Times New Roman" w:hAnsi="Times New Roman" w:eastAsia="方正仿宋简体"/>
          <w:sz w:val="32"/>
        </w:rPr>
        <w:t>一般公共预算收入</w:t>
      </w:r>
      <w:r>
        <w:rPr>
          <w:rFonts w:hint="eastAsia" w:ascii="Times New Roman" w:hAnsi="Times New Roman" w:eastAsia="方正仿宋简体"/>
          <w:sz w:val="32"/>
        </w:rPr>
        <w:t>为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130000</w:t>
      </w:r>
      <w:r>
        <w:rPr>
          <w:rFonts w:ascii="Times New Roman" w:hAnsi="Times New Roman" w:eastAsia="方正仿宋简体"/>
          <w:sz w:val="32"/>
        </w:rPr>
        <w:t>万元，</w:t>
      </w:r>
      <w:r>
        <w:rPr>
          <w:rFonts w:hint="eastAsia" w:ascii="Times New Roman" w:hAnsi="Times New Roman" w:eastAsia="方正仿宋简体"/>
          <w:sz w:val="32"/>
        </w:rPr>
        <w:t>加</w:t>
      </w:r>
      <w:r>
        <w:rPr>
          <w:rFonts w:ascii="Times New Roman" w:hAnsi="Times New Roman" w:eastAsia="方正仿宋简体"/>
          <w:sz w:val="32"/>
        </w:rPr>
        <w:t>上级补助收入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552561</w:t>
      </w:r>
      <w:r>
        <w:rPr>
          <w:rFonts w:ascii="Times New Roman" w:hAnsi="Times New Roman" w:eastAsia="方正仿宋简体"/>
          <w:sz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和一般债券转贷收入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49770</w:t>
      </w:r>
      <w:r>
        <w:rPr>
          <w:rFonts w:hint="eastAsia" w:ascii="Times New Roman" w:hAnsi="Times New Roman" w:eastAsia="方正仿宋简体"/>
          <w:sz w:val="32"/>
          <w:szCs w:val="32"/>
        </w:rPr>
        <w:t>万元，减</w:t>
      </w:r>
      <w:r>
        <w:rPr>
          <w:rFonts w:ascii="Times New Roman" w:hAnsi="Times New Roman" w:eastAsia="方正仿宋简体"/>
          <w:sz w:val="32"/>
          <w:szCs w:val="32"/>
        </w:rPr>
        <w:t>上解支出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37913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一般债</w:t>
      </w:r>
      <w:r>
        <w:rPr>
          <w:rFonts w:hint="eastAsia" w:ascii="Times New Roman" w:hAnsi="Times New Roman" w:eastAsia="方正仿宋简体"/>
          <w:sz w:val="32"/>
          <w:szCs w:val="32"/>
        </w:rPr>
        <w:t>券</w:t>
      </w:r>
      <w:r>
        <w:rPr>
          <w:rFonts w:ascii="Times New Roman" w:hAnsi="Times New Roman" w:eastAsia="方正仿宋简体"/>
          <w:sz w:val="32"/>
          <w:szCs w:val="32"/>
        </w:rPr>
        <w:t>还本支出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42689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和</w:t>
      </w:r>
      <w:r>
        <w:rPr>
          <w:rFonts w:ascii="Times New Roman" w:hAnsi="Times New Roman" w:eastAsia="方正仿宋简体"/>
          <w:sz w:val="32"/>
          <w:szCs w:val="32"/>
        </w:rPr>
        <w:t>补助乡镇支出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70781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后，</w:t>
      </w:r>
      <w:r>
        <w:rPr>
          <w:rFonts w:ascii="Times New Roman" w:hAnsi="Times New Roman" w:eastAsia="方正仿宋简体"/>
          <w:sz w:val="32"/>
          <w:szCs w:val="32"/>
        </w:rPr>
        <w:t>可安排财力为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580948</w:t>
      </w:r>
      <w:r>
        <w:rPr>
          <w:rFonts w:ascii="Times New Roman" w:hAnsi="Times New Roman" w:eastAsia="方正仿宋简体"/>
          <w:sz w:val="32"/>
          <w:szCs w:val="32"/>
        </w:rPr>
        <w:t>万元。按照收支平衡原则，安排县级一般公共预算支出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580948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主要调整事项如下：</w:t>
      </w:r>
    </w:p>
    <w:p>
      <w:pPr>
        <w:snapToGrid w:val="0"/>
        <w:spacing w:line="580" w:lineRule="exact"/>
        <w:ind w:firstLine="643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县级一般公共预算收入调增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8400万元。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结合目前一般公共预算收入完成情况，县级一般公共预算收入预算拟调整为130000万元，调增8400万元，其中：税收收入调增3200万元、非税收入调增5200万元。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上级补助收入调增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141663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其中：一般性转移支付收入增加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99461</w:t>
      </w:r>
      <w:r>
        <w:rPr>
          <w:rFonts w:hint="eastAsia" w:ascii="Times New Roman" w:hAnsi="Times New Roman" w:eastAsia="方正仿宋简体"/>
          <w:sz w:val="32"/>
          <w:szCs w:val="32"/>
        </w:rPr>
        <w:t>万元、专项转移支付收入增加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42202</w:t>
      </w:r>
      <w:r>
        <w:rPr>
          <w:rFonts w:hint="eastAsia" w:ascii="Times New Roman" w:hAnsi="Times New Roman" w:eastAsia="方正仿宋简体"/>
          <w:sz w:val="32"/>
          <w:szCs w:val="32"/>
        </w:rPr>
        <w:t>万元。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一般债券转贷收入调增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7081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为202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年新增一般债券资金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7081</w:t>
      </w:r>
      <w:r>
        <w:rPr>
          <w:rFonts w:hint="eastAsia" w:ascii="Times New Roman" w:hAnsi="Times New Roman" w:eastAsia="方正仿宋简体"/>
          <w:sz w:val="32"/>
          <w:szCs w:val="32"/>
        </w:rPr>
        <w:t>万元。</w:t>
      </w:r>
    </w:p>
    <w:p>
      <w:pPr>
        <w:snapToGrid w:val="0"/>
        <w:spacing w:line="580" w:lineRule="exact"/>
        <w:ind w:firstLine="643" w:firstLineChars="200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调入资金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调减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67470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根据2022年土地出让收入完成情况，政府性基金预算无财力调入一般公共预算，一般公共预算调减调入资金67470万元。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上解支出调增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2327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其中：机关事业单位基本养老保险基金缺口上解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较预计减少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2789</w:t>
      </w:r>
      <w:r>
        <w:rPr>
          <w:rFonts w:hint="eastAsia" w:ascii="Times New Roman" w:hAnsi="Times New Roman" w:eastAsia="方正仿宋简体"/>
          <w:sz w:val="32"/>
          <w:szCs w:val="32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法检两院上划新增上解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3326万元，义务兵优待金新增上解1270万元，其他专项上解新增520万元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3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一般公共预算支出调增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73322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其中：一般性转移支付中的专项补助对应安排增加支出59895万元，新增专项转移支付增加支出42202万元，新增一般债券资金增加支出7081万元，调减年初部门预算支出35856万元（含调整为政府性基金预算安排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22843万元）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snapToGrid w:val="0"/>
        <w:spacing w:line="58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</w:rPr>
        <w:t>（二）政府性基金预算调整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日县第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十七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届人民代表大会常务委员会第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六</w:t>
      </w:r>
      <w:r>
        <w:rPr>
          <w:rFonts w:ascii="Times New Roman" w:hAnsi="Times New Roman" w:eastAsia="方正仿宋简体"/>
          <w:b/>
          <w:bCs/>
          <w:sz w:val="32"/>
          <w:szCs w:val="32"/>
        </w:rPr>
        <w:t>次会议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审查批准的2022年县级财政预算调整方案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为：</w:t>
      </w:r>
      <w:r>
        <w:rPr>
          <w:rFonts w:ascii="Times New Roman" w:hAnsi="Times New Roman" w:eastAsia="方正仿宋简体"/>
          <w:sz w:val="32"/>
          <w:szCs w:val="32"/>
        </w:rPr>
        <w:t>县级政府性基金收入预算为310056万元，加专项债券转贷收入</w:t>
      </w:r>
      <w:r>
        <w:rPr>
          <w:rFonts w:hint="eastAsia" w:ascii="Times New Roman" w:hAnsi="Times New Roman" w:eastAsia="方正仿宋简体"/>
          <w:sz w:val="32"/>
          <w:szCs w:val="32"/>
        </w:rPr>
        <w:t>416</w:t>
      </w:r>
      <w:r>
        <w:rPr>
          <w:rFonts w:ascii="Times New Roman" w:hAnsi="Times New Roman" w:eastAsia="方正仿宋简体"/>
          <w:sz w:val="32"/>
          <w:szCs w:val="32"/>
        </w:rPr>
        <w:t>80万元，减专项债券还本</w:t>
      </w:r>
      <w:r>
        <w:rPr>
          <w:rFonts w:hint="eastAsia" w:ascii="Times New Roman" w:hAnsi="Times New Roman" w:eastAsia="方正仿宋简体"/>
          <w:sz w:val="32"/>
          <w:szCs w:val="32"/>
        </w:rPr>
        <w:t>162</w:t>
      </w:r>
      <w:r>
        <w:rPr>
          <w:rFonts w:ascii="Times New Roman" w:hAnsi="Times New Roman" w:eastAsia="方正仿宋简体"/>
          <w:sz w:val="32"/>
          <w:szCs w:val="32"/>
        </w:rPr>
        <w:t>80万元和调出资金67470万元后，可安排财力为267985万元。按照以收定支和收支平衡原则，安排县级政府性基金支出预算267985万元。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本次拟调整为：</w:t>
      </w:r>
      <w:r>
        <w:rPr>
          <w:rFonts w:hint="eastAsia" w:ascii="Times New Roman" w:hAnsi="Times New Roman" w:eastAsia="方正仿宋简体"/>
          <w:sz w:val="32"/>
          <w:szCs w:val="32"/>
        </w:rPr>
        <w:t>县</w:t>
      </w:r>
      <w:r>
        <w:rPr>
          <w:rFonts w:ascii="Times New Roman" w:hAnsi="Times New Roman" w:eastAsia="方正仿宋简体"/>
          <w:sz w:val="32"/>
          <w:szCs w:val="32"/>
        </w:rPr>
        <w:t>级政府性基金预算收入</w:t>
      </w:r>
      <w:r>
        <w:rPr>
          <w:rFonts w:hint="eastAsia" w:ascii="Times New Roman" w:hAnsi="Times New Roman" w:eastAsia="方正仿宋简体"/>
          <w:sz w:val="32"/>
          <w:szCs w:val="32"/>
        </w:rPr>
        <w:t>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简体"/>
          <w:sz w:val="32"/>
          <w:szCs w:val="32"/>
        </w:rPr>
        <w:t>50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简体"/>
          <w:sz w:val="32"/>
          <w:szCs w:val="32"/>
        </w:rPr>
        <w:t>0</w:t>
      </w:r>
      <w:r>
        <w:rPr>
          <w:rFonts w:ascii="Times New Roman" w:hAnsi="Times New Roman" w:eastAsia="方正仿宋简体"/>
          <w:sz w:val="32"/>
          <w:szCs w:val="32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</w:rPr>
        <w:t>加</w:t>
      </w:r>
      <w:r>
        <w:rPr>
          <w:rFonts w:ascii="Times New Roman" w:hAnsi="Times New Roman" w:eastAsia="方正仿宋简体"/>
          <w:sz w:val="32"/>
          <w:szCs w:val="32"/>
        </w:rPr>
        <w:t>上级补助收入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7746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sz w:val="32"/>
          <w:szCs w:val="32"/>
        </w:rPr>
        <w:t>专项债务转贷收入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64680</w:t>
      </w:r>
      <w:r>
        <w:rPr>
          <w:rFonts w:hint="eastAsia"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和上年结转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428万元</w:t>
      </w:r>
      <w:r>
        <w:rPr>
          <w:rFonts w:hint="eastAsia" w:ascii="Times New Roman" w:hAnsi="Times New Roman" w:eastAsia="方正仿宋简体"/>
          <w:sz w:val="32"/>
          <w:szCs w:val="32"/>
        </w:rPr>
        <w:t>，减</w:t>
      </w:r>
      <w:r>
        <w:rPr>
          <w:rFonts w:ascii="Times New Roman" w:hAnsi="Times New Roman" w:eastAsia="方正仿宋简体"/>
          <w:sz w:val="32"/>
          <w:szCs w:val="32"/>
        </w:rPr>
        <w:t>专项债券还本支出</w:t>
      </w:r>
      <w:r>
        <w:rPr>
          <w:rFonts w:hint="eastAsia" w:ascii="Times New Roman" w:hAnsi="Times New Roman" w:eastAsia="方正仿宋简体"/>
          <w:sz w:val="32"/>
          <w:szCs w:val="32"/>
        </w:rPr>
        <w:t>16280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后，</w:t>
      </w:r>
      <w:r>
        <w:rPr>
          <w:rFonts w:ascii="Times New Roman" w:hAnsi="Times New Roman" w:eastAsia="方正仿宋简体"/>
          <w:sz w:val="32"/>
          <w:szCs w:val="32"/>
        </w:rPr>
        <w:t>可安排财力为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321574</w:t>
      </w:r>
      <w:r>
        <w:rPr>
          <w:rFonts w:ascii="Times New Roman" w:hAnsi="Times New Roman" w:eastAsia="方正仿宋简体"/>
          <w:sz w:val="32"/>
          <w:szCs w:val="32"/>
        </w:rPr>
        <w:t>万元。按照以收定支和收支平衡原则，安排县级政府性基金预算支出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321574</w:t>
      </w:r>
      <w:r>
        <w:rPr>
          <w:rFonts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主要调整事项如下：</w:t>
      </w:r>
    </w:p>
    <w:p>
      <w:pPr>
        <w:snapToGrid w:val="0"/>
        <w:spacing w:line="580" w:lineRule="exact"/>
        <w:ind w:firstLine="643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级政府性基金预算收入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调减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45056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根据2022年国有土地出让收入完成情况，</w:t>
      </w:r>
      <w:r>
        <w:rPr>
          <w:rFonts w:hint="eastAsia" w:ascii="Times New Roman" w:hAnsi="Times New Roman" w:eastAsia="方正仿宋简体"/>
          <w:sz w:val="32"/>
          <w:szCs w:val="32"/>
        </w:rPr>
        <w:t>国有土地使用权出让金收入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调减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43807</w:t>
      </w:r>
      <w:r>
        <w:rPr>
          <w:rFonts w:hint="eastAsia" w:ascii="Times New Roman" w:hAnsi="Times New Roman" w:eastAsia="方正仿宋简体"/>
          <w:sz w:val="32"/>
          <w:szCs w:val="32"/>
        </w:rPr>
        <w:t>万元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。另污水处理费收入调减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1200万元、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专项债券对应项目专项收入调减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49万元。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上级补助收入调增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7746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专项转移支付收入增加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7746</w:t>
      </w:r>
      <w:r>
        <w:rPr>
          <w:rFonts w:hint="eastAsia" w:ascii="Times New Roman" w:hAnsi="Times New Roman" w:eastAsia="方正仿宋简体"/>
          <w:sz w:val="32"/>
          <w:szCs w:val="32"/>
        </w:rPr>
        <w:t>万元。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专项债券转贷收入调增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23000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为新增专项债券资金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23000万元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3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调出资金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调减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67470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根据2022年土地出让收入完成情况，政府性基金预算无财力调入一般公共预算。政府性基金预算调出资金67470万元全部调减。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政府性基金预算支出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调增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53589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万元。</w:t>
      </w:r>
      <w:r>
        <w:rPr>
          <w:rFonts w:hint="eastAsia" w:ascii="Times New Roman" w:hAnsi="Times New Roman" w:eastAsia="方正仿宋简体"/>
          <w:sz w:val="32"/>
          <w:szCs w:val="32"/>
        </w:rPr>
        <w:t>其中：上级专项转移支付收入增加支出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7746</w:t>
      </w:r>
      <w:r>
        <w:rPr>
          <w:rFonts w:hint="eastAsia" w:ascii="Times New Roman" w:hAnsi="Times New Roman" w:eastAsia="方正仿宋简体"/>
          <w:sz w:val="32"/>
          <w:szCs w:val="32"/>
        </w:rPr>
        <w:t>万元，新增专项债券转贷资金安排支出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23000</w:t>
      </w:r>
      <w:r>
        <w:rPr>
          <w:rFonts w:hint="eastAsia" w:ascii="Times New Roman" w:hAnsi="Times New Roman" w:eastAsia="方正仿宋简体"/>
          <w:sz w:val="32"/>
          <w:szCs w:val="32"/>
        </w:rPr>
        <w:t>万元，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一般公共预算调整为政府性基金预算安排支出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22843万元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snapToGrid w:val="0"/>
        <w:spacing w:line="58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（三）国有资本经营预算调整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adjustRightInd w:val="0"/>
        <w:spacing w:line="58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县第十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届人民代表大会第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次会议审查批准的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安岳县</w:t>
      </w:r>
      <w:r>
        <w:rPr>
          <w:rFonts w:hint="eastAsia" w:ascii="Times New Roman" w:hAnsi="Times New Roman" w:eastAsia="方正仿宋简体"/>
          <w:b/>
          <w:bCs/>
          <w:sz w:val="32"/>
          <w:szCs w:val="32"/>
          <w:lang w:val="en-US" w:eastAsia="zh-CN"/>
        </w:rPr>
        <w:t>2021年财政预算执行情况和2022年财政预算草案为：</w:t>
      </w:r>
      <w:r>
        <w:rPr>
          <w:rFonts w:ascii="Times New Roman" w:hAnsi="Times New Roman" w:eastAsia="方正仿宋简体"/>
          <w:sz w:val="32"/>
          <w:szCs w:val="32"/>
        </w:rPr>
        <w:t>县级国有资本经营收入预算为425万元（县柠都自来水公司当年预计股利、股息收入）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  <w:r>
        <w:rPr>
          <w:rFonts w:ascii="Times New Roman" w:hAnsi="Times New Roman" w:eastAsia="方正仿宋简体"/>
          <w:sz w:val="32"/>
          <w:szCs w:val="32"/>
        </w:rPr>
        <w:t>按照收支平衡原则，安排国有资本经营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支出</w:t>
      </w:r>
      <w:r>
        <w:rPr>
          <w:rFonts w:ascii="Times New Roman" w:hAnsi="Times New Roman" w:eastAsia="方正仿宋简体"/>
          <w:sz w:val="32"/>
          <w:szCs w:val="32"/>
        </w:rPr>
        <w:t>预算425万元。</w:t>
      </w:r>
    </w:p>
    <w:p>
      <w:pPr>
        <w:snapToGrid w:val="0"/>
        <w:spacing w:line="580" w:lineRule="exact"/>
        <w:ind w:firstLine="643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本次拟调整：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2022年，受不良贷款及新冠疫情等多重因素影响，县农商行抗风险能力下降，四川省银保监局要求股东今年暂不分红，因此，国有资本经营预算收入及支出均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调整为零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lang w:eastAsia="zh-CN"/>
        </w:rPr>
        <w:t>需特别说明，省财政还有少数转移支付尚待下达，预计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2022年决算数与调整预算数存在一定差异。</w:t>
      </w:r>
      <w:r>
        <w:rPr>
          <w:rFonts w:hint="eastAsia" w:ascii="Times New Roman" w:hAnsi="Times New Roman" w:eastAsia="方正仿宋简体"/>
          <w:sz w:val="32"/>
        </w:rPr>
        <w:t>以上202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2</w:t>
      </w:r>
      <w:r>
        <w:rPr>
          <w:rFonts w:hint="eastAsia" w:ascii="Times New Roman" w:hAnsi="Times New Roman" w:eastAsia="方正仿宋简体"/>
          <w:sz w:val="32"/>
        </w:rPr>
        <w:t>年</w:t>
      </w:r>
      <w:r>
        <w:rPr>
          <w:rFonts w:ascii="Times New Roman" w:hAnsi="Times New Roman" w:eastAsia="方正仿宋简体"/>
          <w:sz w:val="32"/>
        </w:rPr>
        <w:t>县级</w:t>
      </w:r>
      <w:r>
        <w:rPr>
          <w:rFonts w:hint="eastAsia" w:ascii="Times New Roman" w:hAnsi="Times New Roman" w:eastAsia="方正仿宋简体"/>
          <w:sz w:val="32"/>
        </w:rPr>
        <w:t>一般公共</w:t>
      </w:r>
      <w:r>
        <w:rPr>
          <w:rFonts w:ascii="Times New Roman" w:hAnsi="Times New Roman" w:eastAsia="方正仿宋简体"/>
          <w:sz w:val="32"/>
        </w:rPr>
        <w:t>预算调整方案</w:t>
      </w:r>
      <w:r>
        <w:rPr>
          <w:rFonts w:hint="eastAsia" w:ascii="Times New Roman" w:hAnsi="Times New Roman" w:eastAsia="方正仿宋简体"/>
          <w:sz w:val="32"/>
        </w:rPr>
        <w:t>、</w:t>
      </w:r>
      <w:r>
        <w:rPr>
          <w:rFonts w:ascii="Times New Roman" w:hAnsi="Times New Roman" w:eastAsia="方正仿宋简体"/>
          <w:sz w:val="32"/>
        </w:rPr>
        <w:t>县政府性基金预算调整方案</w:t>
      </w:r>
      <w:r>
        <w:rPr>
          <w:rFonts w:hint="eastAsia" w:ascii="Times New Roman" w:hAnsi="Times New Roman" w:eastAsia="方正仿宋简体"/>
          <w:sz w:val="32"/>
        </w:rPr>
        <w:t>和国有资本经营预算调整方案</w:t>
      </w:r>
      <w:r>
        <w:rPr>
          <w:rFonts w:ascii="Times New Roman" w:hAnsi="Times New Roman" w:eastAsia="方正仿宋简体"/>
          <w:sz w:val="32"/>
        </w:rPr>
        <w:t>，请予</w:t>
      </w:r>
      <w:r>
        <w:rPr>
          <w:rFonts w:hint="eastAsia" w:ascii="Times New Roman" w:hAnsi="Times New Roman" w:eastAsia="方正仿宋简体"/>
          <w:sz w:val="32"/>
        </w:rPr>
        <w:t>审查</w:t>
      </w:r>
      <w:r>
        <w:rPr>
          <w:rFonts w:ascii="Times New Roman" w:hAnsi="Times New Roman" w:eastAsia="方正仿宋简体"/>
          <w:sz w:val="32"/>
        </w:rPr>
        <w:t>批准。</w:t>
      </w:r>
    </w:p>
    <w:sectPr>
      <w:footerReference r:id="rId3" w:type="default"/>
      <w:footerReference r:id="rId4" w:type="even"/>
      <w:pgSz w:w="11906" w:h="16838"/>
      <w:pgMar w:top="1701" w:right="1474" w:bottom="1701" w:left="1587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zY2OGNmOTQ5ODFiNGI3Zjk1ZDNlYjAwNWFiMTAifQ=="/>
  </w:docVars>
  <w:rsids>
    <w:rsidRoot w:val="4F5C1E0C"/>
    <w:rsid w:val="00023C59"/>
    <w:rsid w:val="001033B6"/>
    <w:rsid w:val="00137A35"/>
    <w:rsid w:val="001513B1"/>
    <w:rsid w:val="0018556A"/>
    <w:rsid w:val="00186ED9"/>
    <w:rsid w:val="001C5AE3"/>
    <w:rsid w:val="0020028F"/>
    <w:rsid w:val="00235BCC"/>
    <w:rsid w:val="003508DC"/>
    <w:rsid w:val="003D55ED"/>
    <w:rsid w:val="00465102"/>
    <w:rsid w:val="004C010B"/>
    <w:rsid w:val="00500D9B"/>
    <w:rsid w:val="005136D0"/>
    <w:rsid w:val="00586685"/>
    <w:rsid w:val="005A53D5"/>
    <w:rsid w:val="005F11FA"/>
    <w:rsid w:val="00687CC2"/>
    <w:rsid w:val="00766E92"/>
    <w:rsid w:val="00773ACF"/>
    <w:rsid w:val="00836A15"/>
    <w:rsid w:val="008C4C65"/>
    <w:rsid w:val="008D4A4E"/>
    <w:rsid w:val="00975480"/>
    <w:rsid w:val="00A07E3E"/>
    <w:rsid w:val="00A13ABB"/>
    <w:rsid w:val="00A4037B"/>
    <w:rsid w:val="00A65CBC"/>
    <w:rsid w:val="00A93023"/>
    <w:rsid w:val="00AA1216"/>
    <w:rsid w:val="00BA4D57"/>
    <w:rsid w:val="00BA7CE5"/>
    <w:rsid w:val="00C00842"/>
    <w:rsid w:val="00C40879"/>
    <w:rsid w:val="00C43480"/>
    <w:rsid w:val="00C4627B"/>
    <w:rsid w:val="00C56F1D"/>
    <w:rsid w:val="00CB1598"/>
    <w:rsid w:val="00D35096"/>
    <w:rsid w:val="00D44E78"/>
    <w:rsid w:val="00E34C12"/>
    <w:rsid w:val="00EA177F"/>
    <w:rsid w:val="00EC09C6"/>
    <w:rsid w:val="00F7115B"/>
    <w:rsid w:val="00FD065B"/>
    <w:rsid w:val="00FD2807"/>
    <w:rsid w:val="03085220"/>
    <w:rsid w:val="04FA21E4"/>
    <w:rsid w:val="05C85C67"/>
    <w:rsid w:val="06056C22"/>
    <w:rsid w:val="07AD7CD7"/>
    <w:rsid w:val="07EF50B9"/>
    <w:rsid w:val="08A35246"/>
    <w:rsid w:val="09A41F78"/>
    <w:rsid w:val="0A4759C6"/>
    <w:rsid w:val="0AF213EF"/>
    <w:rsid w:val="0B45148D"/>
    <w:rsid w:val="0CD5120E"/>
    <w:rsid w:val="0DCC153C"/>
    <w:rsid w:val="0E961AD9"/>
    <w:rsid w:val="10525272"/>
    <w:rsid w:val="10B140E8"/>
    <w:rsid w:val="111F40E1"/>
    <w:rsid w:val="13412CF8"/>
    <w:rsid w:val="136A02FD"/>
    <w:rsid w:val="137A3915"/>
    <w:rsid w:val="17E8249F"/>
    <w:rsid w:val="17F9691E"/>
    <w:rsid w:val="1AFA0B5F"/>
    <w:rsid w:val="1BDA5760"/>
    <w:rsid w:val="1D141C25"/>
    <w:rsid w:val="1E534A14"/>
    <w:rsid w:val="20042245"/>
    <w:rsid w:val="213B6C2D"/>
    <w:rsid w:val="226C7B2D"/>
    <w:rsid w:val="25B91B37"/>
    <w:rsid w:val="25EE1B7E"/>
    <w:rsid w:val="262D2278"/>
    <w:rsid w:val="26E425C4"/>
    <w:rsid w:val="27603CDC"/>
    <w:rsid w:val="280F3D4D"/>
    <w:rsid w:val="2A2C7E65"/>
    <w:rsid w:val="2AE9093C"/>
    <w:rsid w:val="2E8228B2"/>
    <w:rsid w:val="2EC54ACC"/>
    <w:rsid w:val="2EEC665B"/>
    <w:rsid w:val="2FD51F89"/>
    <w:rsid w:val="30A77F96"/>
    <w:rsid w:val="347137FA"/>
    <w:rsid w:val="358C0F85"/>
    <w:rsid w:val="377B1A57"/>
    <w:rsid w:val="38AB7598"/>
    <w:rsid w:val="392842E7"/>
    <w:rsid w:val="39DB4BE4"/>
    <w:rsid w:val="39F14824"/>
    <w:rsid w:val="3A011BA5"/>
    <w:rsid w:val="3A7F6D52"/>
    <w:rsid w:val="3AE3063D"/>
    <w:rsid w:val="3BB14E0C"/>
    <w:rsid w:val="3C965935"/>
    <w:rsid w:val="3D5F713C"/>
    <w:rsid w:val="3D792EE8"/>
    <w:rsid w:val="3D7B0856"/>
    <w:rsid w:val="3DC11AB0"/>
    <w:rsid w:val="3E7E051C"/>
    <w:rsid w:val="3EF07491"/>
    <w:rsid w:val="3F0926D0"/>
    <w:rsid w:val="406C4EF6"/>
    <w:rsid w:val="40CD2B35"/>
    <w:rsid w:val="43501710"/>
    <w:rsid w:val="44C4575F"/>
    <w:rsid w:val="45601142"/>
    <w:rsid w:val="477737C9"/>
    <w:rsid w:val="47BE6B2F"/>
    <w:rsid w:val="488E151A"/>
    <w:rsid w:val="48F20518"/>
    <w:rsid w:val="49E45211"/>
    <w:rsid w:val="4A245C7A"/>
    <w:rsid w:val="4B0372FD"/>
    <w:rsid w:val="4C7E13E3"/>
    <w:rsid w:val="4CBB220D"/>
    <w:rsid w:val="4EB33032"/>
    <w:rsid w:val="4EB47FE1"/>
    <w:rsid w:val="4EC9349F"/>
    <w:rsid w:val="4ED5312E"/>
    <w:rsid w:val="4F5C1E0C"/>
    <w:rsid w:val="4F707403"/>
    <w:rsid w:val="52405737"/>
    <w:rsid w:val="538468AC"/>
    <w:rsid w:val="538A5361"/>
    <w:rsid w:val="53D43AC2"/>
    <w:rsid w:val="59A407E2"/>
    <w:rsid w:val="5B7026C4"/>
    <w:rsid w:val="5BD30749"/>
    <w:rsid w:val="5C783146"/>
    <w:rsid w:val="5D3B150A"/>
    <w:rsid w:val="5D516E72"/>
    <w:rsid w:val="5E777EAE"/>
    <w:rsid w:val="61DB2F98"/>
    <w:rsid w:val="62590FB0"/>
    <w:rsid w:val="64904B9C"/>
    <w:rsid w:val="64EA0602"/>
    <w:rsid w:val="65D474B0"/>
    <w:rsid w:val="673213DD"/>
    <w:rsid w:val="699F653B"/>
    <w:rsid w:val="69AB32A7"/>
    <w:rsid w:val="6A397451"/>
    <w:rsid w:val="6DFC5891"/>
    <w:rsid w:val="70BB4A21"/>
    <w:rsid w:val="70EC5DDE"/>
    <w:rsid w:val="71337F89"/>
    <w:rsid w:val="71C94ACA"/>
    <w:rsid w:val="72EB631F"/>
    <w:rsid w:val="73920719"/>
    <w:rsid w:val="756154C6"/>
    <w:rsid w:val="75A76935"/>
    <w:rsid w:val="75D340C6"/>
    <w:rsid w:val="76275BDE"/>
    <w:rsid w:val="768D37F5"/>
    <w:rsid w:val="772269A4"/>
    <w:rsid w:val="77BC3CB1"/>
    <w:rsid w:val="78701A54"/>
    <w:rsid w:val="79134AC2"/>
    <w:rsid w:val="795519B9"/>
    <w:rsid w:val="798F6071"/>
    <w:rsid w:val="79A40D9F"/>
    <w:rsid w:val="7A747E63"/>
    <w:rsid w:val="7A7B2143"/>
    <w:rsid w:val="7ACC534D"/>
    <w:rsid w:val="7B2D2486"/>
    <w:rsid w:val="7B9D56C9"/>
    <w:rsid w:val="7BFA6D47"/>
    <w:rsid w:val="7C546C25"/>
    <w:rsid w:val="7D3A784B"/>
    <w:rsid w:val="7E703CAA"/>
    <w:rsid w:val="7EDE6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TML Acronym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tmpztreemove_arrow"/>
    <w:basedOn w:val="7"/>
    <w:qFormat/>
    <w:uiPriority w:val="0"/>
  </w:style>
  <w:style w:type="character" w:customStyle="1" w:styleId="19">
    <w:name w:val="hover37"/>
    <w:basedOn w:val="7"/>
    <w:qFormat/>
    <w:uiPriority w:val="0"/>
    <w:rPr>
      <w:color w:val="005AA2"/>
    </w:rPr>
  </w:style>
  <w:style w:type="character" w:customStyle="1" w:styleId="20">
    <w:name w:val="prev5"/>
    <w:basedOn w:val="7"/>
    <w:qFormat/>
    <w:uiPriority w:val="0"/>
  </w:style>
  <w:style w:type="character" w:customStyle="1" w:styleId="21">
    <w:name w:val="next5"/>
    <w:basedOn w:val="7"/>
    <w:qFormat/>
    <w:uiPriority w:val="0"/>
  </w:style>
  <w:style w:type="character" w:customStyle="1" w:styleId="22">
    <w:name w:val="button"/>
    <w:basedOn w:val="7"/>
    <w:qFormat/>
    <w:uiPriority w:val="0"/>
  </w:style>
  <w:style w:type="character" w:customStyle="1" w:styleId="23">
    <w:name w:val="hover36"/>
    <w:basedOn w:val="7"/>
    <w:qFormat/>
    <w:uiPriority w:val="0"/>
    <w:rPr>
      <w:color w:val="005AA2"/>
    </w:rPr>
  </w:style>
  <w:style w:type="character" w:customStyle="1" w:styleId="24">
    <w:name w:val="prev1"/>
    <w:basedOn w:val="7"/>
    <w:qFormat/>
    <w:uiPriority w:val="0"/>
  </w:style>
  <w:style w:type="character" w:customStyle="1" w:styleId="25">
    <w:name w:val="next4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1727</Words>
  <Characters>2077</Characters>
  <Lines>16</Lines>
  <Paragraphs>4</Paragraphs>
  <TotalTime>85</TotalTime>
  <ScaleCrop>false</ScaleCrop>
  <LinksUpToDate>false</LinksUpToDate>
  <CharactersWithSpaces>2081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2015-11-04T02:59:00Z</dcterms:created>
  <dc:creator>nobody</dc:creator>
  <cp:lastModifiedBy>Administrator</cp:lastModifiedBy>
  <cp:lastPrinted>2020-12-17T07:41:00Z</cp:lastPrinted>
  <dcterms:modified xsi:type="dcterms:W3CDTF">2023-01-12T02:18:39Z</dcterms:modified>
  <dc:title>安岳县人民政府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893752C44FB74A53A2E356C67ACC1B87</vt:lpwstr>
  </property>
</Properties>
</file>