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both"/>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r>
        <w:rPr>
          <w:rFonts w:hint="eastAsia" w:ascii="Times New Roman" w:hAnsi="Times New Roman" w:eastAsia="方正黑体_GBK" w:cs="方正黑体_GBK"/>
          <w:sz w:val="32"/>
          <w:szCs w:val="32"/>
          <w:lang w:val="en-US" w:eastAsia="zh-CN"/>
        </w:rPr>
        <w:t>2</w:t>
      </w:r>
      <w:bookmarkStart w:id="127" w:name="_GoBack"/>
      <w:bookmarkEnd w:id="127"/>
    </w:p>
    <w:p>
      <w:pPr>
        <w:spacing w:line="640" w:lineRule="exact"/>
        <w:ind w:firstLine="0" w:firstLineChars="0"/>
        <w:jc w:val="center"/>
        <w:rPr>
          <w:rFonts w:hint="eastAsia"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两项改革“后半篇”文章乡镇级片区应急体系专项规划</w:t>
      </w:r>
    </w:p>
    <w:p>
      <w:pPr>
        <w:spacing w:line="640" w:lineRule="exact"/>
        <w:ind w:firstLine="0" w:firstLineChars="0"/>
        <w:jc w:val="center"/>
        <w:rPr>
          <w:rFonts w:ascii="方正小标宋简体" w:eastAsia="方正小标宋简体" w:cs="Times New Roman"/>
          <w:sz w:val="44"/>
          <w:szCs w:val="44"/>
        </w:rPr>
      </w:pPr>
    </w:p>
    <w:p>
      <w:pPr>
        <w:spacing w:line="800" w:lineRule="exact"/>
        <w:ind w:firstLine="0" w:firstLineChars="0"/>
        <w:jc w:val="center"/>
        <w:rPr>
          <w:rFonts w:ascii="方正小标宋简体" w:eastAsia="方正小标宋简体" w:cs="Times New Roman"/>
          <w:color w:val="000000"/>
          <w:sz w:val="44"/>
          <w:szCs w:val="44"/>
        </w:rPr>
      </w:pPr>
      <w:r>
        <w:rPr>
          <w:rFonts w:hint="eastAsia" w:ascii="方正小标宋简体" w:eastAsia="方正小标宋简体" w:cs="Times New Roman"/>
          <w:color w:val="000000"/>
          <w:sz w:val="44"/>
          <w:szCs w:val="44"/>
        </w:rPr>
        <w:t>周礼薯业现代农业发展片区</w:t>
      </w:r>
    </w:p>
    <w:p>
      <w:pPr>
        <w:spacing w:line="800" w:lineRule="exact"/>
        <w:ind w:firstLine="0" w:firstLineChars="0"/>
        <w:jc w:val="center"/>
        <w:rPr>
          <w:rFonts w:ascii="方正小标宋简体" w:eastAsia="方正小标宋简体" w:cs="Times New Roman"/>
          <w:color w:val="000000"/>
          <w:sz w:val="44"/>
          <w:szCs w:val="44"/>
        </w:rPr>
      </w:pPr>
      <w:r>
        <w:rPr>
          <w:rFonts w:hint="eastAsia" w:ascii="方正小标宋简体" w:eastAsia="方正小标宋简体" w:cs="Times New Roman"/>
          <w:color w:val="000000"/>
          <w:sz w:val="44"/>
          <w:szCs w:val="44"/>
        </w:rPr>
        <w:t>应急体系专项规划</w:t>
      </w:r>
    </w:p>
    <w:p>
      <w:pPr>
        <w:spacing w:line="800" w:lineRule="exact"/>
        <w:ind w:firstLine="0" w:firstLineChars="0"/>
        <w:jc w:val="center"/>
        <w:rPr>
          <w:rFonts w:ascii="方正小标宋简体" w:eastAsia="方正小标宋简体" w:cs="Times New Roman"/>
          <w:bCs/>
          <w:color w:val="000000"/>
          <w:sz w:val="44"/>
          <w:szCs w:val="44"/>
        </w:rPr>
      </w:pPr>
      <w:r>
        <w:rPr>
          <w:rFonts w:hint="eastAsia" w:ascii="方正小标宋简体" w:eastAsia="方正小标宋简体" w:cs="Times New Roman"/>
          <w:bCs/>
          <w:color w:val="000000"/>
          <w:sz w:val="44"/>
          <w:szCs w:val="44"/>
        </w:rPr>
        <w:t>（</w:t>
      </w:r>
      <w:r>
        <w:rPr>
          <w:rFonts w:eastAsia="方正小标宋简体" w:cs="Times New Roman"/>
          <w:bCs/>
          <w:color w:val="000000"/>
          <w:sz w:val="44"/>
          <w:szCs w:val="44"/>
        </w:rPr>
        <w:t>2021</w:t>
      </w:r>
      <w:r>
        <w:rPr>
          <w:rFonts w:hint="eastAsia" w:ascii="方正小标宋简体" w:eastAsia="方正小标宋简体" w:cs="Times New Roman"/>
          <w:bCs/>
          <w:color w:val="000000"/>
          <w:sz w:val="44"/>
          <w:szCs w:val="44"/>
        </w:rPr>
        <w:t>-</w:t>
      </w:r>
      <w:r>
        <w:rPr>
          <w:rFonts w:eastAsia="方正小标宋简体" w:cs="Times New Roman"/>
          <w:bCs/>
          <w:color w:val="000000"/>
          <w:sz w:val="44"/>
          <w:szCs w:val="44"/>
        </w:rPr>
        <w:t>2035</w:t>
      </w:r>
      <w:r>
        <w:rPr>
          <w:rFonts w:hint="eastAsia" w:ascii="方正小标宋简体" w:eastAsia="方正小标宋简体" w:cs="Times New Roman"/>
          <w:bCs/>
          <w:color w:val="000000"/>
          <w:sz w:val="44"/>
          <w:szCs w:val="44"/>
        </w:rPr>
        <w:t>年）</w:t>
      </w:r>
    </w:p>
    <w:p>
      <w:pPr>
        <w:spacing w:line="640" w:lineRule="exact"/>
        <w:ind w:firstLine="0" w:firstLineChars="0"/>
        <w:jc w:val="center"/>
        <w:rPr>
          <w:rFonts w:ascii="方正小标宋简体" w:eastAsia="方正小标宋简体" w:cs="Times New Roman"/>
          <w:sz w:val="44"/>
          <w:szCs w:val="44"/>
        </w:rPr>
      </w:pPr>
    </w:p>
    <w:p>
      <w:pPr>
        <w:pStyle w:val="2"/>
        <w:ind w:firstLine="880"/>
        <w:rPr>
          <w:rFonts w:ascii="方正小标宋简体" w:hAnsi="Times New Roman" w:eastAsia="方正小标宋简体" w:cs="Times New Roman"/>
          <w:sz w:val="44"/>
          <w:szCs w:val="44"/>
        </w:rPr>
      </w:pPr>
    </w:p>
    <w:p>
      <w:pPr>
        <w:ind w:firstLine="0" w:firstLineChars="0"/>
        <w:jc w:val="center"/>
        <w:rPr>
          <w:rFonts w:ascii="方正小标宋简体" w:eastAsia="方正小标宋简体" w:cs="Times New Roman"/>
          <w:bCs/>
          <w:color w:val="000000" w:themeColor="text1"/>
          <w:sz w:val="44"/>
          <w:szCs w:val="44"/>
          <w:lang w:bidi="ar"/>
        </w:rPr>
      </w:pPr>
      <w:r>
        <w:rPr>
          <w:rFonts w:hint="eastAsia" w:ascii="方正小标宋简体" w:eastAsia="方正小标宋简体" w:cs="Times New Roman"/>
          <w:bCs/>
          <w:color w:val="000000" w:themeColor="text1"/>
          <w:sz w:val="44"/>
          <w:szCs w:val="44"/>
          <w:lang w:bidi="ar"/>
        </w:rPr>
        <w:t>（征求意见稿）</w:t>
      </w: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p>
    <w:p>
      <w:pPr>
        <w:pStyle w:val="2"/>
        <w:ind w:firstLine="420"/>
      </w:pPr>
    </w:p>
    <w:p>
      <w:pPr>
        <w:spacing w:line="640" w:lineRule="exact"/>
        <w:ind w:firstLine="0" w:firstLineChars="0"/>
        <w:jc w:val="center"/>
        <w:rPr>
          <w:rFonts w:eastAsia="黑体" w:cs="Times New Roman"/>
          <w:szCs w:val="32"/>
        </w:rPr>
      </w:pPr>
      <w:r>
        <w:rPr>
          <w:rFonts w:eastAsia="黑体" w:cs="Times New Roman"/>
          <w:szCs w:val="32"/>
        </w:rPr>
        <w:t>安岳县应急管理局</w:t>
      </w:r>
    </w:p>
    <w:p>
      <w:pPr>
        <w:pStyle w:val="2"/>
        <w:ind w:firstLine="0" w:firstLineChars="0"/>
        <w:jc w:val="center"/>
        <w:rPr>
          <w:rFonts w:ascii="Times New Roman" w:hAnsi="Times New Roman" w:eastAsia="黑体" w:cs="Times New Roman"/>
          <w:sz w:val="32"/>
          <w:szCs w:val="32"/>
        </w:rPr>
      </w:pPr>
      <w:r>
        <w:rPr>
          <w:rFonts w:ascii="Times New Roman" w:hAnsi="Times New Roman" w:eastAsia="黑体" w:cs="Times New Roman"/>
          <w:sz w:val="32"/>
          <w:szCs w:val="32"/>
        </w:rPr>
        <w:t>二〇二</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年</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月</w:t>
      </w:r>
    </w:p>
    <w:p>
      <w:pPr>
        <w:spacing w:line="640" w:lineRule="exact"/>
        <w:ind w:firstLine="0" w:firstLineChars="0"/>
        <w:jc w:val="center"/>
        <w:rPr>
          <w:rFonts w:cs="Times New Roman"/>
          <w:sz w:val="44"/>
          <w:szCs w:val="44"/>
        </w:rPr>
      </w:pPr>
    </w:p>
    <w:p>
      <w:pPr>
        <w:spacing w:line="640" w:lineRule="exact"/>
        <w:ind w:firstLine="0" w:firstLineChars="0"/>
        <w:jc w:val="center"/>
        <w:rPr>
          <w:rFonts w:ascii="黑体" w:hAnsi="黑体" w:eastAsia="黑体" w:cs="Times New Roman"/>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0" w:num="1"/>
          <w:rtlGutter w:val="0"/>
          <w:docGrid w:type="lines" w:linePitch="439" w:charSpace="0"/>
        </w:sectPr>
      </w:pPr>
    </w:p>
    <w:p>
      <w:pPr>
        <w:spacing w:line="640" w:lineRule="exact"/>
        <w:ind w:firstLine="0" w:firstLineChars="0"/>
        <w:jc w:val="center"/>
        <w:rPr>
          <w:rFonts w:ascii="黑体" w:hAnsi="黑体" w:eastAsia="黑体" w:cs="Times New Roman"/>
          <w:sz w:val="44"/>
          <w:szCs w:val="44"/>
        </w:rPr>
      </w:pPr>
      <w:r>
        <w:rPr>
          <w:rFonts w:ascii="黑体" w:hAnsi="黑体" w:eastAsia="黑体" w:cs="Times New Roman"/>
          <w:sz w:val="44"/>
          <w:szCs w:val="44"/>
        </w:rPr>
        <w:t>目 录</w:t>
      </w:r>
    </w:p>
    <w:p>
      <w:pPr>
        <w:pStyle w:val="15"/>
        <w:tabs>
          <w:tab w:val="right" w:leader="dot" w:pos="8312"/>
        </w:tabs>
      </w:pPr>
      <w:r>
        <w:rPr>
          <w:rFonts w:cs="Times New Roman"/>
        </w:rPr>
        <w:fldChar w:fldCharType="begin"/>
      </w:r>
      <w:r>
        <w:rPr>
          <w:rFonts w:cs="Times New Roman"/>
        </w:rPr>
        <w:instrText xml:space="preserve"> TOC \o "1-2" \h \z \u </w:instrText>
      </w:r>
      <w:r>
        <w:rPr>
          <w:rFonts w:cs="Times New Roman"/>
        </w:rPr>
        <w:fldChar w:fldCharType="separate"/>
      </w:r>
      <w:r>
        <w:rPr>
          <w:rFonts w:cs="Times New Roman"/>
        </w:rPr>
        <w:fldChar w:fldCharType="begin"/>
      </w:r>
      <w:r>
        <w:rPr>
          <w:rFonts w:cs="Times New Roman"/>
        </w:rPr>
        <w:instrText xml:space="preserve"> HYPERLINK \l _Toc17862 </w:instrText>
      </w:r>
      <w:r>
        <w:rPr>
          <w:rFonts w:cs="Times New Roman"/>
        </w:rPr>
        <w:fldChar w:fldCharType="separate"/>
      </w:r>
      <w:r>
        <w:rPr>
          <w:rFonts w:cs="Times New Roman"/>
        </w:rPr>
        <w:t>第一章  总则</w:t>
      </w:r>
      <w:r>
        <w:tab/>
      </w:r>
      <w:r>
        <w:fldChar w:fldCharType="begin"/>
      </w:r>
      <w:r>
        <w:instrText xml:space="preserve"> PAGEREF _Toc17862 \h </w:instrText>
      </w:r>
      <w:r>
        <w:fldChar w:fldCharType="separate"/>
      </w:r>
      <w:r>
        <w:t>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_Toc25314 </w:instrText>
      </w:r>
      <w:r>
        <w:rPr>
          <w:rFonts w:cs="Times New Roman"/>
        </w:rPr>
        <w:fldChar w:fldCharType="separate"/>
      </w:r>
      <w:r>
        <w:rPr>
          <w:rFonts w:cs="Times New Roman"/>
          <w:bCs w:val="0"/>
        </w:rPr>
        <w:t>第一节  规划依据</w:t>
      </w:r>
      <w:r>
        <w:tab/>
      </w:r>
      <w:r>
        <w:fldChar w:fldCharType="begin"/>
      </w:r>
      <w:r>
        <w:instrText xml:space="preserve"> PAGEREF _Toc25314 \h </w:instrText>
      </w:r>
      <w:r>
        <w:fldChar w:fldCharType="separate"/>
      </w:r>
      <w:r>
        <w:t>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_Toc16628 </w:instrText>
      </w:r>
      <w:r>
        <w:rPr>
          <w:rFonts w:cs="Times New Roman"/>
        </w:rPr>
        <w:fldChar w:fldCharType="separate"/>
      </w:r>
      <w:r>
        <w:rPr>
          <w:rFonts w:cs="Times New Roman"/>
          <w:bCs w:val="0"/>
        </w:rPr>
        <w:t>第二节  规划原则</w:t>
      </w:r>
      <w:r>
        <w:tab/>
      </w:r>
      <w:r>
        <w:fldChar w:fldCharType="begin"/>
      </w:r>
      <w:r>
        <w:instrText xml:space="preserve"> PAGEREF _Toc16628 \h </w:instrText>
      </w:r>
      <w:r>
        <w:fldChar w:fldCharType="separate"/>
      </w:r>
      <w:r>
        <w:t>4</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_Toc5120 </w:instrText>
      </w:r>
      <w:r>
        <w:rPr>
          <w:rFonts w:cs="Times New Roman"/>
        </w:rPr>
        <w:fldChar w:fldCharType="separate"/>
      </w:r>
      <w:r>
        <w:rPr>
          <w:rFonts w:cs="Times New Roman"/>
          <w:bCs w:val="0"/>
        </w:rPr>
        <w:t>第二章  规划背景</w:t>
      </w:r>
      <w:r>
        <w:tab/>
      </w:r>
      <w:r>
        <w:fldChar w:fldCharType="begin"/>
      </w:r>
      <w:r>
        <w:instrText xml:space="preserve"> PAGEREF _Toc5120 \h </w:instrText>
      </w:r>
      <w:r>
        <w:fldChar w:fldCharType="separate"/>
      </w:r>
      <w:r>
        <w:t>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_Toc27334 </w:instrText>
      </w:r>
      <w:r>
        <w:rPr>
          <w:rFonts w:cs="Times New Roman"/>
        </w:rPr>
        <w:fldChar w:fldCharType="separate"/>
      </w:r>
      <w:r>
        <w:rPr>
          <w:rFonts w:cs="Times New Roman"/>
          <w:bCs w:val="0"/>
        </w:rPr>
        <w:t>第一节 片区现状</w:t>
      </w:r>
      <w:r>
        <w:tab/>
      </w:r>
      <w:r>
        <w:fldChar w:fldCharType="begin"/>
      </w:r>
      <w:r>
        <w:instrText xml:space="preserve"> PAGEREF _Toc27334 \h </w:instrText>
      </w:r>
      <w:r>
        <w:fldChar w:fldCharType="separate"/>
      </w:r>
      <w:r>
        <w:t>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_Toc28582 </w:instrText>
      </w:r>
      <w:r>
        <w:rPr>
          <w:rFonts w:cs="Times New Roman"/>
        </w:rPr>
        <w:fldChar w:fldCharType="separate"/>
      </w:r>
      <w:r>
        <w:rPr>
          <w:rFonts w:cs="Times New Roman"/>
        </w:rPr>
        <w:t>第二节 面临问题</w:t>
      </w:r>
      <w:r>
        <w:tab/>
      </w:r>
      <w:r>
        <w:fldChar w:fldCharType="begin"/>
      </w:r>
      <w:r>
        <w:instrText xml:space="preserve"> PAGEREF _Toc28582 \h </w:instrText>
      </w:r>
      <w:r>
        <w:fldChar w:fldCharType="separate"/>
      </w:r>
      <w:r>
        <w:t>10</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_Toc6813 </w:instrText>
      </w:r>
      <w:r>
        <w:rPr>
          <w:rFonts w:cs="Times New Roman"/>
        </w:rPr>
        <w:fldChar w:fldCharType="separate"/>
      </w:r>
      <w:r>
        <w:rPr>
          <w:rFonts w:cs="Times New Roman"/>
          <w:bCs w:val="0"/>
        </w:rPr>
        <w:t>第三章  规划目标</w:t>
      </w:r>
      <w:r>
        <w:tab/>
      </w:r>
      <w:r>
        <w:fldChar w:fldCharType="begin"/>
      </w:r>
      <w:r>
        <w:instrText xml:space="preserve"> PAGEREF _Toc6813 \h </w:instrText>
      </w:r>
      <w:r>
        <w:fldChar w:fldCharType="separate"/>
      </w:r>
      <w:r>
        <w:t>13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_Toc11623 </w:instrText>
      </w:r>
      <w:r>
        <w:rPr>
          <w:rFonts w:cs="Times New Roman"/>
        </w:rPr>
        <w:fldChar w:fldCharType="separate"/>
      </w:r>
      <w:r>
        <w:rPr>
          <w:rFonts w:cs="Times New Roman"/>
          <w:bCs w:val="0"/>
        </w:rPr>
        <w:t>第一节  近期目标</w:t>
      </w:r>
      <w:r>
        <w:tab/>
      </w:r>
      <w:r>
        <w:fldChar w:fldCharType="begin"/>
      </w:r>
      <w:r>
        <w:instrText xml:space="preserve"> PAGEREF _Toc11623 \h </w:instrText>
      </w:r>
      <w:r>
        <w:fldChar w:fldCharType="separate"/>
      </w:r>
      <w:r>
        <w:t>13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_Toc14506 </w:instrText>
      </w:r>
      <w:r>
        <w:rPr>
          <w:rFonts w:cs="Times New Roman"/>
        </w:rPr>
        <w:fldChar w:fldCharType="separate"/>
      </w:r>
      <w:r>
        <w:rPr>
          <w:rFonts w:cs="Times New Roman"/>
        </w:rPr>
        <w:t>第二节  远景目标</w:t>
      </w:r>
      <w:r>
        <w:tab/>
      </w:r>
      <w:r>
        <w:fldChar w:fldCharType="begin"/>
      </w:r>
      <w:r>
        <w:instrText xml:space="preserve"> PAGEREF _Toc14506 \h </w:instrText>
      </w:r>
      <w:r>
        <w:fldChar w:fldCharType="separate"/>
      </w:r>
      <w:r>
        <w:t>15</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_Toc4079 </w:instrText>
      </w:r>
      <w:r>
        <w:rPr>
          <w:rFonts w:cs="Times New Roman"/>
        </w:rPr>
        <w:fldChar w:fldCharType="separate"/>
      </w:r>
      <w:r>
        <w:rPr>
          <w:rFonts w:cs="Times New Roman"/>
        </w:rPr>
        <w:t>第四章  主要任务和重点工程</w:t>
      </w:r>
      <w:r>
        <w:tab/>
      </w:r>
      <w:r>
        <w:fldChar w:fldCharType="begin"/>
      </w:r>
      <w:r>
        <w:instrText xml:space="preserve"> PAGEREF _Toc4079 \h </w:instrText>
      </w:r>
      <w:r>
        <w:fldChar w:fldCharType="separate"/>
      </w:r>
      <w:r>
        <w:t>15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_Toc4899 </w:instrText>
      </w:r>
      <w:r>
        <w:rPr>
          <w:rFonts w:cs="Times New Roman"/>
        </w:rPr>
        <w:fldChar w:fldCharType="separate"/>
      </w:r>
      <w:r>
        <w:rPr>
          <w:rFonts w:cs="Times New Roman"/>
          <w:bCs w:val="0"/>
        </w:rPr>
        <w:t>第一节  完善应急管理组织体系</w:t>
      </w:r>
      <w:r>
        <w:tab/>
      </w:r>
      <w:r>
        <w:fldChar w:fldCharType="begin"/>
      </w:r>
      <w:r>
        <w:instrText xml:space="preserve"> PAGEREF _Toc4899 \h </w:instrText>
      </w:r>
      <w:r>
        <w:fldChar w:fldCharType="separate"/>
      </w:r>
      <w:r>
        <w:t>15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_Toc20977 </w:instrText>
      </w:r>
      <w:r>
        <w:rPr>
          <w:rFonts w:cs="Times New Roman"/>
        </w:rPr>
        <w:fldChar w:fldCharType="separate"/>
      </w:r>
      <w:r>
        <w:rPr>
          <w:rFonts w:cs="Times New Roman"/>
        </w:rPr>
        <w:t>第二节  提高安全生产防治水平</w:t>
      </w:r>
      <w:r>
        <w:tab/>
      </w:r>
      <w:r>
        <w:fldChar w:fldCharType="begin"/>
      </w:r>
      <w:r>
        <w:instrText xml:space="preserve"> PAGEREF _Toc20977 \h </w:instrText>
      </w:r>
      <w:r>
        <w:fldChar w:fldCharType="separate"/>
      </w:r>
      <w:r>
        <w:t>17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_Toc20985 </w:instrText>
      </w:r>
      <w:r>
        <w:rPr>
          <w:rFonts w:cs="Times New Roman"/>
        </w:rPr>
        <w:fldChar w:fldCharType="separate"/>
      </w:r>
      <w:r>
        <w:rPr>
          <w:rFonts w:cs="Times New Roman"/>
        </w:rPr>
        <w:t>第三节  增强自然灾害防御能力</w:t>
      </w:r>
      <w:r>
        <w:tab/>
      </w:r>
      <w:r>
        <w:fldChar w:fldCharType="begin"/>
      </w:r>
      <w:r>
        <w:instrText xml:space="preserve"> PAGEREF _Toc20985 \h </w:instrText>
      </w:r>
      <w:r>
        <w:fldChar w:fldCharType="separate"/>
      </w:r>
      <w:r>
        <w:t>20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_Toc7031 </w:instrText>
      </w:r>
      <w:r>
        <w:rPr>
          <w:rFonts w:cs="Times New Roman"/>
        </w:rPr>
        <w:fldChar w:fldCharType="separate"/>
      </w:r>
      <w:r>
        <w:rPr>
          <w:rFonts w:cs="Times New Roman"/>
        </w:rPr>
        <w:t>第四节  加强综合应急能力建设</w:t>
      </w:r>
      <w:r>
        <w:tab/>
      </w:r>
      <w:r>
        <w:fldChar w:fldCharType="begin"/>
      </w:r>
      <w:r>
        <w:instrText xml:space="preserve"> PAGEREF _Toc7031 \h </w:instrText>
      </w:r>
      <w:r>
        <w:fldChar w:fldCharType="separate"/>
      </w:r>
      <w:r>
        <w:t>23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_Toc9577 </w:instrText>
      </w:r>
      <w:r>
        <w:rPr>
          <w:rFonts w:cs="Times New Roman"/>
        </w:rPr>
        <w:fldChar w:fldCharType="separate"/>
      </w:r>
      <w:r>
        <w:rPr>
          <w:rFonts w:cs="Times New Roman"/>
        </w:rPr>
        <w:t>第五节  推动先进信息技术应用</w:t>
      </w:r>
      <w:r>
        <w:tab/>
      </w:r>
      <w:r>
        <w:fldChar w:fldCharType="begin"/>
      </w:r>
      <w:r>
        <w:instrText xml:space="preserve"> PAGEREF _Toc9577 \h </w:instrText>
      </w:r>
      <w:r>
        <w:fldChar w:fldCharType="separate"/>
      </w:r>
      <w:r>
        <w:t>27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_Toc19138 </w:instrText>
      </w:r>
      <w:r>
        <w:rPr>
          <w:rFonts w:cs="Times New Roman"/>
        </w:rPr>
        <w:fldChar w:fldCharType="separate"/>
      </w:r>
      <w:r>
        <w:rPr>
          <w:rFonts w:cs="Times New Roman"/>
        </w:rPr>
        <w:t>第六节  构建应急管理共建共治共享格局</w:t>
      </w:r>
      <w:r>
        <w:tab/>
      </w:r>
      <w:r>
        <w:fldChar w:fldCharType="begin"/>
      </w:r>
      <w:r>
        <w:instrText xml:space="preserve"> PAGEREF _Toc19138 \h </w:instrText>
      </w:r>
      <w:r>
        <w:fldChar w:fldCharType="separate"/>
      </w:r>
      <w:r>
        <w:t>28</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_Toc28122 </w:instrText>
      </w:r>
      <w:r>
        <w:rPr>
          <w:rFonts w:cs="Times New Roman"/>
        </w:rPr>
        <w:fldChar w:fldCharType="separate"/>
      </w:r>
      <w:r>
        <w:rPr>
          <w:rFonts w:cs="Times New Roman"/>
        </w:rPr>
        <w:t>第五章  保障措施</w:t>
      </w:r>
      <w:r>
        <w:tab/>
      </w:r>
      <w:r>
        <w:fldChar w:fldCharType="begin"/>
      </w:r>
      <w:r>
        <w:instrText xml:space="preserve"> PAGEREF _Toc28122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_Toc29980 </w:instrText>
      </w:r>
      <w:r>
        <w:rPr>
          <w:rFonts w:cs="Times New Roman"/>
        </w:rPr>
        <w:fldChar w:fldCharType="separate"/>
      </w:r>
      <w:r>
        <w:rPr>
          <w:rFonts w:cs="Times New Roman"/>
          <w:bCs w:val="0"/>
        </w:rPr>
        <w:t>第一节  完善组织保障</w:t>
      </w:r>
      <w:r>
        <w:tab/>
      </w:r>
      <w:r>
        <w:fldChar w:fldCharType="begin"/>
      </w:r>
      <w:r>
        <w:instrText xml:space="preserve"> PAGEREF _Toc29980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_Toc20453 </w:instrText>
      </w:r>
      <w:r>
        <w:rPr>
          <w:rFonts w:cs="Times New Roman"/>
        </w:rPr>
        <w:fldChar w:fldCharType="separate"/>
      </w:r>
      <w:r>
        <w:rPr>
          <w:rFonts w:cs="Times New Roman"/>
        </w:rPr>
        <w:t>第二节  强化资金保障</w:t>
      </w:r>
      <w:r>
        <w:tab/>
      </w:r>
      <w:r>
        <w:fldChar w:fldCharType="begin"/>
      </w:r>
      <w:r>
        <w:instrText xml:space="preserve"> PAGEREF _Toc20453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_Toc26444 </w:instrText>
      </w:r>
      <w:r>
        <w:rPr>
          <w:rFonts w:cs="Times New Roman"/>
        </w:rPr>
        <w:fldChar w:fldCharType="separate"/>
      </w:r>
      <w:r>
        <w:rPr>
          <w:rFonts w:cs="Times New Roman"/>
          <w:bCs w:val="0"/>
        </w:rPr>
        <w:t>第三节  落实政策保障</w:t>
      </w:r>
      <w:r>
        <w:tab/>
      </w:r>
      <w:r>
        <w:fldChar w:fldCharType="begin"/>
      </w:r>
      <w:r>
        <w:instrText xml:space="preserve"> PAGEREF _Toc26444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_Toc32132 </w:instrText>
      </w:r>
      <w:r>
        <w:rPr>
          <w:rFonts w:cs="Times New Roman"/>
        </w:rPr>
        <w:fldChar w:fldCharType="separate"/>
      </w:r>
      <w:r>
        <w:rPr>
          <w:rFonts w:cs="Times New Roman"/>
          <w:bCs w:val="0"/>
        </w:rPr>
        <w:t>第四节  强化督查问效</w:t>
      </w:r>
      <w:r>
        <w:tab/>
      </w:r>
      <w:r>
        <w:fldChar w:fldCharType="begin"/>
      </w:r>
      <w:r>
        <w:instrText xml:space="preserve"> PAGEREF _Toc32132 \h </w:instrText>
      </w:r>
      <w:r>
        <w:fldChar w:fldCharType="separate"/>
      </w:r>
      <w:r>
        <w:t>30</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_Toc27270 </w:instrText>
      </w:r>
      <w:r>
        <w:rPr>
          <w:rFonts w:cs="Times New Roman"/>
        </w:rPr>
        <w:fldChar w:fldCharType="separate"/>
      </w:r>
      <w:r>
        <w:rPr>
          <w:rFonts w:hint="eastAsia" w:cs="Times New Roman"/>
        </w:rPr>
        <w:t>附表</w:t>
      </w:r>
      <w:r>
        <w:tab/>
      </w:r>
      <w:r>
        <w:fldChar w:fldCharType="begin"/>
      </w:r>
      <w:r>
        <w:instrText xml:space="preserve"> PAGEREF _Toc27270 \h </w:instrText>
      </w:r>
      <w:r>
        <w:fldChar w:fldCharType="separate"/>
      </w:r>
      <w:r>
        <w:t>31</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_Toc1455 </w:instrText>
      </w:r>
      <w:r>
        <w:rPr>
          <w:rFonts w:cs="Times New Roman"/>
        </w:rPr>
        <w:fldChar w:fldCharType="separate"/>
      </w:r>
      <w:r>
        <w:rPr>
          <w:rFonts w:hint="eastAsia" w:cs="Times New Roman"/>
          <w:bCs w:val="0"/>
          <w:lang w:eastAsia="zh-CN"/>
        </w:rPr>
        <w:t>（</w:t>
      </w:r>
      <w:r>
        <w:rPr>
          <w:rFonts w:hint="eastAsia" w:cs="Times New Roman"/>
          <w:bCs w:val="0"/>
          <w:lang w:val="en-US" w:eastAsia="zh-CN"/>
        </w:rPr>
        <w:t>一）</w:t>
      </w:r>
      <w:r>
        <w:rPr>
          <w:rFonts w:hint="eastAsia" w:cs="Times New Roman"/>
          <w:bCs w:val="0"/>
        </w:rPr>
        <w:t>片区企业风险等级及分布表</w:t>
      </w:r>
      <w:r>
        <w:tab/>
      </w:r>
      <w:r>
        <w:fldChar w:fldCharType="begin"/>
      </w:r>
      <w:r>
        <w:instrText xml:space="preserve"> PAGEREF _Toc1455 \h </w:instrText>
      </w:r>
      <w:r>
        <w:fldChar w:fldCharType="separate"/>
      </w:r>
      <w:r>
        <w:t>31</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_Toc31253 </w:instrText>
      </w:r>
      <w:r>
        <w:rPr>
          <w:rFonts w:cs="Times New Roman"/>
        </w:rPr>
        <w:fldChar w:fldCharType="separate"/>
      </w:r>
      <w:r>
        <w:rPr>
          <w:rFonts w:hint="eastAsia" w:cs="Times New Roman"/>
          <w:bCs w:val="0"/>
          <w:lang w:eastAsia="zh-CN"/>
        </w:rPr>
        <w:t>（</w:t>
      </w:r>
      <w:r>
        <w:rPr>
          <w:rFonts w:hint="eastAsia" w:cs="Times New Roman"/>
          <w:bCs w:val="0"/>
          <w:lang w:val="en-US" w:eastAsia="zh-CN"/>
        </w:rPr>
        <w:t>二）</w:t>
      </w:r>
      <w:r>
        <w:rPr>
          <w:rFonts w:hint="eastAsia" w:cs="Times New Roman"/>
          <w:bCs w:val="0"/>
        </w:rPr>
        <w:t>片区近年来典型安全生产和自然灾害事故统计表</w:t>
      </w:r>
      <w:r>
        <w:tab/>
      </w:r>
      <w:r>
        <w:fldChar w:fldCharType="begin"/>
      </w:r>
      <w:r>
        <w:instrText xml:space="preserve"> PAGEREF _Toc31253 \h </w:instrText>
      </w:r>
      <w:r>
        <w:fldChar w:fldCharType="separate"/>
      </w:r>
      <w:r>
        <w:t>32</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_Toc17909 </w:instrText>
      </w:r>
      <w:r>
        <w:rPr>
          <w:rFonts w:cs="Times New Roman"/>
        </w:rPr>
        <w:fldChar w:fldCharType="separate"/>
      </w:r>
      <w:r>
        <w:rPr>
          <w:rFonts w:hint="eastAsia" w:cs="Times New Roman"/>
          <w:bCs w:val="0"/>
          <w:lang w:eastAsia="zh-CN"/>
        </w:rPr>
        <w:t>（</w:t>
      </w:r>
      <w:r>
        <w:rPr>
          <w:rFonts w:hint="eastAsia" w:cs="Times New Roman"/>
          <w:bCs w:val="0"/>
          <w:lang w:val="en-US" w:eastAsia="zh-CN"/>
        </w:rPr>
        <w:t>三）</w:t>
      </w:r>
      <w:r>
        <w:rPr>
          <w:rFonts w:hint="eastAsia" w:cs="Times New Roman"/>
          <w:bCs w:val="0"/>
        </w:rPr>
        <w:t>片区应急队伍统计及分布表</w:t>
      </w:r>
      <w:r>
        <w:tab/>
      </w:r>
      <w:r>
        <w:fldChar w:fldCharType="begin"/>
      </w:r>
      <w:r>
        <w:instrText xml:space="preserve"> PAGEREF _Toc17909 \h </w:instrText>
      </w:r>
      <w:r>
        <w:fldChar w:fldCharType="separate"/>
      </w:r>
      <w:r>
        <w:t>33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_Toc14091 </w:instrText>
      </w:r>
      <w:r>
        <w:rPr>
          <w:rFonts w:cs="Times New Roman"/>
        </w:rPr>
        <w:fldChar w:fldCharType="separate"/>
      </w:r>
      <w:r>
        <w:rPr>
          <w:rFonts w:hint="eastAsia" w:cs="Times New Roman"/>
          <w:bCs w:val="0"/>
          <w:lang w:eastAsia="zh-CN"/>
        </w:rPr>
        <w:t>（</w:t>
      </w:r>
      <w:r>
        <w:rPr>
          <w:rFonts w:hint="eastAsia" w:cs="Times New Roman"/>
          <w:bCs w:val="0"/>
          <w:lang w:val="en-US" w:eastAsia="zh-CN"/>
        </w:rPr>
        <w:t>四）</w:t>
      </w:r>
      <w:r>
        <w:rPr>
          <w:rFonts w:hint="eastAsia" w:cs="Times New Roman"/>
          <w:bCs w:val="0"/>
        </w:rPr>
        <w:t>片区应急救援装备、物质统计及分布表</w:t>
      </w:r>
      <w:r>
        <w:tab/>
      </w:r>
      <w:r>
        <w:fldChar w:fldCharType="begin"/>
      </w:r>
      <w:r>
        <w:instrText xml:space="preserve"> PAGEREF _Toc14091 \h </w:instrText>
      </w:r>
      <w:r>
        <w:fldChar w:fldCharType="separate"/>
      </w:r>
      <w:r>
        <w:t>37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_Toc13783 </w:instrText>
      </w:r>
      <w:r>
        <w:rPr>
          <w:rFonts w:cs="Times New Roman"/>
        </w:rPr>
        <w:fldChar w:fldCharType="separate"/>
      </w:r>
      <w:r>
        <w:rPr>
          <w:rFonts w:hint="eastAsia" w:cs="Times New Roman"/>
          <w:bCs w:val="0"/>
          <w:lang w:eastAsia="zh-CN"/>
        </w:rPr>
        <w:t>（</w:t>
      </w:r>
      <w:r>
        <w:rPr>
          <w:rFonts w:hint="eastAsia" w:cs="Times New Roman"/>
          <w:bCs w:val="0"/>
          <w:lang w:val="en-US" w:eastAsia="zh-CN"/>
        </w:rPr>
        <w:t>五）</w:t>
      </w:r>
      <w:r>
        <w:rPr>
          <w:rFonts w:hint="eastAsia" w:cs="Times New Roman"/>
          <w:bCs w:val="0"/>
        </w:rPr>
        <w:t>片区应急管理用地现状和规划用地指标</w:t>
      </w:r>
      <w:r>
        <w:tab/>
      </w:r>
      <w:r>
        <w:fldChar w:fldCharType="begin"/>
      </w:r>
      <w:r>
        <w:instrText xml:space="preserve"> PAGEREF _Toc13783 \h </w:instrText>
      </w:r>
      <w:r>
        <w:fldChar w:fldCharType="separate"/>
      </w:r>
      <w:r>
        <w:t>43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_Toc4794 </w:instrText>
      </w:r>
      <w:r>
        <w:rPr>
          <w:rFonts w:cs="Times New Roman"/>
        </w:rPr>
        <w:fldChar w:fldCharType="separate"/>
      </w:r>
      <w:r>
        <w:rPr>
          <w:rFonts w:hint="eastAsia" w:cs="Times New Roman"/>
          <w:bCs w:val="0"/>
        </w:rPr>
        <w:t>（六）片区重点工程项目统计表</w:t>
      </w:r>
      <w:r>
        <w:tab/>
      </w:r>
      <w:r>
        <w:fldChar w:fldCharType="begin"/>
      </w:r>
      <w:r>
        <w:instrText xml:space="preserve"> PAGEREF _Toc4794 \h </w:instrText>
      </w:r>
      <w:r>
        <w:fldChar w:fldCharType="separate"/>
      </w:r>
      <w:r>
        <w:t>46</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_Toc16871 </w:instrText>
      </w:r>
      <w:r>
        <w:rPr>
          <w:rFonts w:cs="Times New Roman"/>
        </w:rPr>
        <w:fldChar w:fldCharType="separate"/>
      </w:r>
      <w:r>
        <w:rPr>
          <w:rFonts w:cs="Times New Roman"/>
        </w:rPr>
        <w:t>附图</w:t>
      </w:r>
      <w:r>
        <w:tab/>
      </w:r>
      <w:r>
        <w:fldChar w:fldCharType="begin"/>
      </w:r>
      <w:r>
        <w:instrText xml:space="preserve"> PAGEREF _Toc16871 \h </w:instrText>
      </w:r>
      <w:r>
        <w:fldChar w:fldCharType="separate"/>
      </w:r>
      <w:r>
        <w:t>47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_Toc11727 </w:instrText>
      </w:r>
      <w:r>
        <w:rPr>
          <w:rFonts w:cs="Times New Roman"/>
        </w:rPr>
        <w:fldChar w:fldCharType="separate"/>
      </w:r>
      <w:r>
        <w:rPr>
          <w:rFonts w:hint="eastAsia" w:cs="Times New Roman"/>
          <w:bCs w:val="0"/>
          <w:lang w:eastAsia="zh-CN"/>
        </w:rPr>
        <w:t>（</w:t>
      </w:r>
      <w:r>
        <w:rPr>
          <w:rFonts w:hint="eastAsia" w:cs="Times New Roman"/>
          <w:bCs w:val="0"/>
          <w:lang w:val="en-US" w:eastAsia="zh-CN"/>
        </w:rPr>
        <w:t>一</w:t>
      </w:r>
      <w:r>
        <w:rPr>
          <w:rFonts w:hint="eastAsia" w:cs="Times New Roman"/>
          <w:bCs w:val="0"/>
          <w:lang w:eastAsia="zh-CN"/>
        </w:rPr>
        <w:t>）</w:t>
      </w:r>
      <w:r>
        <w:rPr>
          <w:rFonts w:hint="eastAsia" w:cs="Times New Roman"/>
          <w:bCs w:val="0"/>
        </w:rPr>
        <w:t>片区安全生产风险分布图</w:t>
      </w:r>
      <w:r>
        <w:tab/>
      </w:r>
      <w:r>
        <w:fldChar w:fldCharType="begin"/>
      </w:r>
      <w:r>
        <w:instrText xml:space="preserve"> PAGEREF _Toc11727 \h </w:instrText>
      </w:r>
      <w:r>
        <w:fldChar w:fldCharType="separate"/>
      </w:r>
      <w:r>
        <w:t>47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_Toc23804 </w:instrText>
      </w:r>
      <w:r>
        <w:rPr>
          <w:rFonts w:cs="Times New Roman"/>
        </w:rPr>
        <w:fldChar w:fldCharType="separate"/>
      </w:r>
      <w:r>
        <w:rPr>
          <w:rFonts w:hint="eastAsia" w:cs="Times New Roman"/>
          <w:bCs w:val="0"/>
          <w:lang w:eastAsia="zh-CN"/>
        </w:rPr>
        <w:t>（</w:t>
      </w:r>
      <w:r>
        <w:rPr>
          <w:rFonts w:hint="eastAsia" w:cs="Times New Roman"/>
          <w:bCs w:val="0"/>
          <w:lang w:val="en-US" w:eastAsia="zh-CN"/>
        </w:rPr>
        <w:t>二</w:t>
      </w:r>
      <w:r>
        <w:rPr>
          <w:rFonts w:hint="eastAsia" w:cs="Times New Roman"/>
          <w:bCs w:val="0"/>
          <w:lang w:eastAsia="zh-CN"/>
        </w:rPr>
        <w:t>）</w:t>
      </w:r>
      <w:r>
        <w:rPr>
          <w:rFonts w:hint="eastAsia" w:cs="Times New Roman"/>
          <w:bCs w:val="0"/>
        </w:rPr>
        <w:t>片区自然灾害风险分布图</w:t>
      </w:r>
      <w:r>
        <w:tab/>
      </w:r>
      <w:r>
        <w:fldChar w:fldCharType="begin"/>
      </w:r>
      <w:r>
        <w:instrText xml:space="preserve"> PAGEREF _Toc23804 \h </w:instrText>
      </w:r>
      <w:r>
        <w:fldChar w:fldCharType="separate"/>
      </w:r>
      <w:r>
        <w:t>48</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_Toc6453 </w:instrText>
      </w:r>
      <w:r>
        <w:rPr>
          <w:rFonts w:cs="Times New Roman"/>
        </w:rPr>
        <w:fldChar w:fldCharType="separate"/>
      </w:r>
      <w:r>
        <w:rPr>
          <w:rFonts w:hint="eastAsia" w:cs="Times New Roman"/>
          <w:bCs w:val="0"/>
          <w:lang w:eastAsia="zh-CN"/>
        </w:rPr>
        <w:t>（</w:t>
      </w:r>
      <w:r>
        <w:rPr>
          <w:rFonts w:hint="eastAsia" w:cs="Times New Roman"/>
          <w:bCs w:val="0"/>
          <w:lang w:val="en-US" w:eastAsia="zh-CN"/>
        </w:rPr>
        <w:t>三</w:t>
      </w:r>
      <w:r>
        <w:rPr>
          <w:rFonts w:hint="eastAsia" w:cs="Times New Roman"/>
          <w:bCs w:val="0"/>
          <w:lang w:eastAsia="zh-CN"/>
        </w:rPr>
        <w:t>）</w:t>
      </w:r>
      <w:r>
        <w:rPr>
          <w:rFonts w:hint="eastAsia" w:cs="Times New Roman"/>
          <w:bCs w:val="0"/>
        </w:rPr>
        <w:t>片区主要防抗救设施现状分布图</w:t>
      </w:r>
      <w:r>
        <w:tab/>
      </w:r>
      <w:r>
        <w:fldChar w:fldCharType="begin"/>
      </w:r>
      <w:r>
        <w:instrText xml:space="preserve"> PAGEREF _Toc6453 \h </w:instrText>
      </w:r>
      <w:r>
        <w:fldChar w:fldCharType="separate"/>
      </w:r>
      <w:r>
        <w:t>49</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_Toc24576 </w:instrText>
      </w:r>
      <w:r>
        <w:rPr>
          <w:rFonts w:cs="Times New Roman"/>
        </w:rPr>
        <w:fldChar w:fldCharType="separate"/>
      </w:r>
      <w:r>
        <w:rPr>
          <w:rFonts w:hint="eastAsia" w:cs="Times New Roman"/>
          <w:bCs w:val="0"/>
        </w:rPr>
        <w:t>（四）片区主要防抗救设施规划图</w:t>
      </w:r>
      <w:r>
        <w:tab/>
      </w:r>
      <w:r>
        <w:fldChar w:fldCharType="begin"/>
      </w:r>
      <w:r>
        <w:instrText xml:space="preserve"> PAGEREF _Toc24576 \h </w:instrText>
      </w:r>
      <w:r>
        <w:fldChar w:fldCharType="separate"/>
      </w:r>
      <w:r>
        <w:t>50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_Toc20272 </w:instrText>
      </w:r>
      <w:r>
        <w:rPr>
          <w:rFonts w:cs="Times New Roman"/>
        </w:rPr>
        <w:fldChar w:fldCharType="separate"/>
      </w:r>
      <w:r>
        <w:rPr>
          <w:rFonts w:hint="eastAsia" w:cs="Times New Roman"/>
          <w:bCs w:val="0"/>
        </w:rPr>
        <w:t>（五）片区防灾减灾救灾能力现状分布图</w:t>
      </w:r>
      <w:r>
        <w:tab/>
      </w:r>
      <w:r>
        <w:fldChar w:fldCharType="begin"/>
      </w:r>
      <w:r>
        <w:instrText xml:space="preserve"> PAGEREF _Toc20272 \h </w:instrText>
      </w:r>
      <w:r>
        <w:fldChar w:fldCharType="separate"/>
      </w:r>
      <w:r>
        <w:t>51</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_Toc21786 </w:instrText>
      </w:r>
      <w:r>
        <w:rPr>
          <w:rFonts w:cs="Times New Roman"/>
        </w:rPr>
        <w:fldChar w:fldCharType="separate"/>
      </w:r>
      <w:r>
        <w:rPr>
          <w:rFonts w:hint="eastAsia" w:cs="Times New Roman"/>
          <w:bCs w:val="0"/>
        </w:rPr>
        <w:t>（六）片区防灾减灾救灾能力规划图</w:t>
      </w:r>
      <w:r>
        <w:tab/>
      </w:r>
      <w:r>
        <w:fldChar w:fldCharType="begin"/>
      </w:r>
      <w:r>
        <w:instrText xml:space="preserve"> PAGEREF _Toc21786 \h </w:instrText>
      </w:r>
      <w:r>
        <w:fldChar w:fldCharType="separate"/>
      </w:r>
      <w:r>
        <w:t>52</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_Toc11867 </w:instrText>
      </w:r>
      <w:r>
        <w:rPr>
          <w:rFonts w:cs="Times New Roman"/>
        </w:rPr>
        <w:fldChar w:fldCharType="separate"/>
      </w:r>
      <w:r>
        <w:rPr>
          <w:rFonts w:hint="eastAsia" w:cs="Times New Roman"/>
          <w:bCs w:val="0"/>
        </w:rPr>
        <w:t>（七）片区灾害事故防范工程规划图</w:t>
      </w:r>
      <w:r>
        <w:tab/>
      </w:r>
      <w:r>
        <w:fldChar w:fldCharType="begin"/>
      </w:r>
      <w:r>
        <w:instrText xml:space="preserve"> PAGEREF _Toc11867 \h </w:instrText>
      </w:r>
      <w:r>
        <w:fldChar w:fldCharType="separate"/>
      </w:r>
      <w:r>
        <w:t>53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_Toc29001 </w:instrText>
      </w:r>
      <w:r>
        <w:rPr>
          <w:rFonts w:cs="Times New Roman"/>
        </w:rPr>
        <w:fldChar w:fldCharType="separate"/>
      </w:r>
      <w:r>
        <w:rPr>
          <w:rFonts w:hint="eastAsia" w:cs="Times New Roman"/>
          <w:bCs w:val="0"/>
        </w:rPr>
        <w:t>（八）片区应急管理信息工程规划图</w:t>
      </w:r>
      <w:r>
        <w:tab/>
      </w:r>
      <w:r>
        <w:fldChar w:fldCharType="begin"/>
      </w:r>
      <w:r>
        <w:instrText xml:space="preserve"> PAGEREF _Toc29001 \h </w:instrText>
      </w:r>
      <w:r>
        <w:fldChar w:fldCharType="separate"/>
      </w:r>
      <w:r>
        <w:t>54</w:t>
      </w:r>
      <w:r>
        <w:fldChar w:fldCharType="end"/>
      </w:r>
      <w:r>
        <w:rPr>
          <w:rFonts w:cs="Times New Roman"/>
        </w:rPr>
        <w:fldChar w:fldCharType="end"/>
      </w:r>
    </w:p>
    <w:p>
      <w:pPr>
        <w:ind w:firstLine="0" w:firstLineChars="0"/>
        <w:rPr>
          <w:rFonts w:cs="Times New Roman"/>
        </w:rPr>
      </w:pPr>
      <w:r>
        <w:rPr>
          <w:rFonts w:cs="Times New Roman"/>
        </w:rPr>
        <w:fldChar w:fldCharType="end"/>
      </w:r>
      <w:r>
        <w:rPr>
          <w:rFonts w:cs="Times New Roman"/>
        </w:rPr>
        <w:br w:type="page"/>
      </w:r>
      <w:bookmarkStart w:id="0" w:name="_Toc98773620"/>
      <w:bookmarkStart w:id="1" w:name="_Toc98773623"/>
      <w:r>
        <w:rPr>
          <w:rFonts w:cs="Times New Roman"/>
          <w:color w:val="000000" w:themeColor="text1"/>
          <w:szCs w:val="32"/>
        </w:rPr>
        <w:t xml:space="preserve">      </w:t>
      </w:r>
      <w:r>
        <w:rPr>
          <w:rFonts w:hint="eastAsia" w:cs="Times New Roman"/>
          <w:color w:val="000000" w:themeColor="text1"/>
          <w:szCs w:val="32"/>
        </w:rPr>
        <w:t>以</w:t>
      </w:r>
      <w:r>
        <w:rPr>
          <w:rFonts w:cs="Times New Roman"/>
          <w:color w:val="000000" w:themeColor="text1"/>
          <w:szCs w:val="32"/>
        </w:rPr>
        <w:t>习近平新时代中国特色社会主义思想为指导，</w:t>
      </w:r>
      <w:bookmarkStart w:id="2" w:name="_Hlk121039744"/>
      <w:r>
        <w:rPr>
          <w:rFonts w:cs="Times New Roman"/>
          <w:color w:val="000000" w:themeColor="text1"/>
          <w:szCs w:val="32"/>
        </w:rPr>
        <w:t>深入贯彻党的二十大精神</w:t>
      </w:r>
      <w:bookmarkEnd w:id="2"/>
      <w:r>
        <w:rPr>
          <w:rFonts w:cs="Times New Roman"/>
          <w:color w:val="000000" w:themeColor="text1"/>
          <w:szCs w:val="32"/>
        </w:rPr>
        <w:t>，坚持以人民为中心的发展思想，全面落实省委、省政府</w:t>
      </w:r>
      <w:r>
        <w:rPr>
          <w:rFonts w:hint="eastAsia" w:cs="Times New Roman"/>
          <w:color w:val="000000" w:themeColor="text1"/>
          <w:szCs w:val="32"/>
        </w:rPr>
        <w:t>，</w:t>
      </w:r>
      <w:r>
        <w:rPr>
          <w:rFonts w:cs="Times New Roman"/>
          <w:color w:val="000000" w:themeColor="text1"/>
          <w:szCs w:val="32"/>
        </w:rPr>
        <w:t>市委、市政府</w:t>
      </w:r>
      <w:r>
        <w:rPr>
          <w:rFonts w:hint="eastAsia" w:cs="Times New Roman"/>
          <w:color w:val="000000" w:themeColor="text1"/>
          <w:szCs w:val="32"/>
        </w:rPr>
        <w:t>，</w:t>
      </w:r>
      <w:r>
        <w:rPr>
          <w:rFonts w:cs="Times New Roman"/>
          <w:color w:val="000000" w:themeColor="text1"/>
          <w:szCs w:val="32"/>
        </w:rPr>
        <w:t>县委、县政府关于做好两项改革“后半篇”文章相关工作的决策部署，统筹发展与安全，建立健全周礼薯业现代农业发展片区应急管理体系，强化安全生产风险防控能力，提升自然灾害防御能力，加强应急处置能力建设，提升应急管理水平，扎实推进各乡镇治理体系和治理能力现代化，打造共建共治共享的应急管理格局，特编制《周礼薯业现代农业发展片区应急体系专项规划（2021-2035）》（以下简称“本规划”），本规划与周礼薯业现代农业发展片区国土空间规划期限一致，规划期限为2021—2035年，其中近期至2025年，远景展望至2035年。</w:t>
      </w:r>
    </w:p>
    <w:p>
      <w:pPr>
        <w:pStyle w:val="3"/>
        <w:ind w:left="165"/>
        <w:rPr>
          <w:rFonts w:cs="Times New Roman"/>
          <w:color w:val="000000" w:themeColor="text1"/>
        </w:rPr>
      </w:pPr>
      <w:bookmarkStart w:id="3" w:name="_Toc17862"/>
      <w:bookmarkStart w:id="4" w:name="_Toc107040677"/>
      <w:r>
        <w:rPr>
          <w:rFonts w:cs="Times New Roman"/>
          <w:color w:val="000000" w:themeColor="text1"/>
        </w:rPr>
        <w:t>第一章  总则</w:t>
      </w:r>
      <w:bookmarkEnd w:id="0"/>
      <w:bookmarkEnd w:id="3"/>
      <w:bookmarkEnd w:id="4"/>
    </w:p>
    <w:p>
      <w:pPr>
        <w:pStyle w:val="4"/>
        <w:rPr>
          <w:rFonts w:cs="Times New Roman"/>
          <w:bCs w:val="0"/>
          <w:color w:val="000000" w:themeColor="text1"/>
        </w:rPr>
      </w:pPr>
      <w:bookmarkStart w:id="5" w:name="_Toc91790469"/>
      <w:bookmarkStart w:id="6" w:name="_Toc98773621"/>
      <w:bookmarkStart w:id="7" w:name="_Toc107040678"/>
      <w:bookmarkStart w:id="8" w:name="_Toc25314"/>
      <w:r>
        <w:rPr>
          <w:rFonts w:cs="Times New Roman"/>
          <w:bCs w:val="0"/>
          <w:color w:val="000000" w:themeColor="text1"/>
        </w:rPr>
        <w:t>第一节  规划</w:t>
      </w:r>
      <w:bookmarkEnd w:id="5"/>
      <w:r>
        <w:rPr>
          <w:rFonts w:cs="Times New Roman"/>
          <w:bCs w:val="0"/>
          <w:color w:val="000000" w:themeColor="text1"/>
        </w:rPr>
        <w:t>依据</w:t>
      </w:r>
      <w:bookmarkEnd w:id="6"/>
      <w:bookmarkEnd w:id="7"/>
      <w:bookmarkEnd w:id="8"/>
    </w:p>
    <w:p>
      <w:pPr>
        <w:widowControl/>
        <w:ind w:firstLine="640"/>
        <w:rPr>
          <w:rFonts w:cs="Times New Roman"/>
          <w:color w:val="000000" w:themeColor="text1"/>
          <w:szCs w:val="32"/>
        </w:rPr>
      </w:pPr>
      <w:bookmarkStart w:id="9" w:name="_Toc91790470"/>
      <w:r>
        <w:rPr>
          <w:rFonts w:cs="Times New Roman"/>
          <w:color w:val="000000" w:themeColor="text1"/>
          <w:szCs w:val="32"/>
        </w:rPr>
        <w:t>《中华人民共和国安全生产法》</w:t>
      </w:r>
    </w:p>
    <w:p>
      <w:pPr>
        <w:widowControl/>
        <w:ind w:firstLine="640"/>
        <w:rPr>
          <w:rFonts w:cs="Times New Roman"/>
          <w:color w:val="000000" w:themeColor="text1"/>
          <w:szCs w:val="32"/>
        </w:rPr>
      </w:pPr>
      <w:r>
        <w:rPr>
          <w:rFonts w:cs="Times New Roman"/>
          <w:color w:val="000000" w:themeColor="text1"/>
          <w:szCs w:val="32"/>
        </w:rPr>
        <w:t>《中华人民共和国突发事件应对法》</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国家减灾委员会关于印发《“十四五”国家综合防灾减灾规划》的通知（国减发〔2022〕1号）</w:t>
      </w:r>
    </w:p>
    <w:p>
      <w:pPr>
        <w:widowControl/>
        <w:ind w:firstLine="640"/>
        <w:rPr>
          <w:rFonts w:cs="Times New Roman"/>
          <w:color w:val="000000" w:themeColor="text1"/>
          <w:szCs w:val="32"/>
        </w:rPr>
      </w:pPr>
      <w:r>
        <w:rPr>
          <w:rFonts w:cs="Times New Roman"/>
          <w:color w:val="000000" w:themeColor="text1"/>
          <w:szCs w:val="32"/>
        </w:rPr>
        <w:t>《中共四川省委办公厅四川省人民政府办公厅关于印发〈关于做好乡镇行政区划和村级建制调整改革“后半篇”文章的实施方案〉的通知》（川委厅〔2021〕6号）</w:t>
      </w:r>
    </w:p>
    <w:p>
      <w:pPr>
        <w:widowControl/>
        <w:ind w:firstLine="640"/>
        <w:rPr>
          <w:rFonts w:cs="Times New Roman"/>
          <w:color w:val="000000" w:themeColor="text1"/>
          <w:szCs w:val="32"/>
        </w:rPr>
      </w:pPr>
      <w:r>
        <w:rPr>
          <w:rFonts w:cs="Times New Roman"/>
          <w:color w:val="000000" w:themeColor="text1"/>
          <w:szCs w:val="32"/>
        </w:rPr>
        <w:t>《四川省自然资源厅关于印发〈乡镇级片区专项规划省级工作方案〉的通知》（川自然资发〔2021〕43号）</w:t>
      </w:r>
    </w:p>
    <w:p>
      <w:pPr>
        <w:widowControl/>
        <w:ind w:firstLine="640"/>
        <w:rPr>
          <w:rFonts w:cs="Times New Roman"/>
          <w:color w:val="000000" w:themeColor="text1"/>
          <w:szCs w:val="32"/>
        </w:rPr>
      </w:pPr>
      <w:r>
        <w:rPr>
          <w:rFonts w:cs="Times New Roman"/>
          <w:color w:val="000000" w:themeColor="text1"/>
          <w:szCs w:val="32"/>
        </w:rPr>
        <w:t>《四川省应急管理厅关于印发〈四川省乡镇级片区应急体系专项规划编制要点〉〈四川省乡镇级片区应急体系专项规划备案程序及审查要点〉的通知》（川应急〔2022〕3号）</w:t>
      </w:r>
    </w:p>
    <w:p>
      <w:pPr>
        <w:widowControl/>
        <w:ind w:firstLine="640"/>
        <w:rPr>
          <w:rFonts w:cs="Times New Roman"/>
          <w:color w:val="000000" w:themeColor="text1"/>
        </w:rPr>
      </w:pPr>
      <w:r>
        <w:rPr>
          <w:rFonts w:cs="Times New Roman"/>
          <w:color w:val="000000" w:themeColor="text1"/>
          <w:szCs w:val="32"/>
        </w:rPr>
        <w:t>《提升基层应急管理能力工作方案》（川应急委办〔2021〕2号）</w:t>
      </w:r>
    </w:p>
    <w:bookmarkEnd w:id="9"/>
    <w:p>
      <w:pPr>
        <w:ind w:firstLine="640"/>
        <w:rPr>
          <w:rFonts w:cs="Times New Roman"/>
          <w:color w:val="000000" w:themeColor="text1"/>
        </w:rPr>
      </w:pPr>
      <w:r>
        <w:rPr>
          <w:rFonts w:cs="Times New Roman"/>
          <w:color w:val="000000" w:themeColor="text1"/>
          <w:szCs w:val="32"/>
        </w:rPr>
        <w:t>《四川省“十四五”应急体系规划》（川府发〔2021〕43号）</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《资阳市国民经济和社会发展第十四个五年规划和二〇三五年远景目标纲要》（资府发〔2021〕5号）</w:t>
      </w:r>
    </w:p>
    <w:p>
      <w:pPr>
        <w:ind w:firstLine="640"/>
        <w:rPr>
          <w:rFonts w:cs="Times New Roman"/>
          <w:color w:val="000000" w:themeColor="text1"/>
        </w:rPr>
      </w:pPr>
      <w:r>
        <w:rPr>
          <w:rFonts w:cs="Times New Roman"/>
          <w:color w:val="000000" w:themeColor="text1"/>
        </w:rPr>
        <w:t>《资阳市“十四五”消防事业发展规划》（资府发〔2021〕19号）</w:t>
      </w:r>
    </w:p>
    <w:p>
      <w:pPr>
        <w:ind w:firstLine="640"/>
        <w:rPr>
          <w:rFonts w:eastAsia="方正仿宋简体" w:cs="Times New Roman"/>
          <w:color w:val="000000" w:themeColor="text1"/>
          <w:szCs w:val="32"/>
        </w:rPr>
      </w:pPr>
      <w:r>
        <w:rPr>
          <w:rFonts w:cs="Times New Roman"/>
          <w:color w:val="000000" w:themeColor="text1"/>
        </w:rPr>
        <w:t>《资阳市“十四五”应急体系规划》（</w:t>
      </w:r>
      <w:r>
        <w:rPr>
          <w:rFonts w:eastAsia="方正仿宋简体" w:cs="Times New Roman"/>
          <w:color w:val="000000" w:themeColor="text1"/>
          <w:szCs w:val="32"/>
        </w:rPr>
        <w:t>资</w:t>
      </w:r>
      <w:r>
        <w:rPr>
          <w:rFonts w:hint="eastAsia" w:eastAsia="方正仿宋简体" w:cs="Times New Roman"/>
          <w:color w:val="000000" w:themeColor="text1"/>
          <w:szCs w:val="32"/>
        </w:rPr>
        <w:t>府发</w:t>
      </w:r>
      <w:r>
        <w:rPr>
          <w:rFonts w:eastAsia="方正仿宋简体" w:cs="Times New Roman"/>
          <w:color w:val="000000" w:themeColor="text1"/>
          <w:szCs w:val="32"/>
        </w:rPr>
        <w:t>〔2022〕9号）</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w:t>
      </w:r>
      <w:r>
        <w:rPr>
          <w:rFonts w:hint="eastAsia" w:ascii="Times New Roman" w:hAnsi="Times New Roman" w:eastAsia="仿宋" w:cs="Times New Roman"/>
          <w:color w:val="000000" w:themeColor="text1"/>
          <w:sz w:val="32"/>
          <w:szCs w:val="22"/>
        </w:rPr>
        <w:t>安岳县</w:t>
      </w:r>
      <w:r>
        <w:rPr>
          <w:rFonts w:ascii="Times New Roman" w:hAnsi="Times New Roman" w:eastAsia="仿宋" w:cs="Times New Roman"/>
          <w:color w:val="000000" w:themeColor="text1"/>
          <w:sz w:val="32"/>
          <w:szCs w:val="22"/>
        </w:rPr>
        <w:t>“十四五”应急体系规划》</w:t>
      </w:r>
      <w:bookmarkStart w:id="10" w:name="_Hlk121133013"/>
      <w:r>
        <w:rPr>
          <w:rFonts w:ascii="Times New Roman" w:hAnsi="Times New Roman" w:eastAsia="仿宋" w:cs="Times New Roman"/>
          <w:color w:val="000000" w:themeColor="text1"/>
          <w:sz w:val="32"/>
          <w:szCs w:val="22"/>
        </w:rPr>
        <w:t>（安府发〔2022〕18号）</w:t>
      </w:r>
      <w:bookmarkEnd w:id="10"/>
    </w:p>
    <w:p>
      <w:pPr>
        <w:pStyle w:val="4"/>
        <w:rPr>
          <w:rFonts w:cs="Times New Roman"/>
          <w:bCs w:val="0"/>
          <w:color w:val="000000" w:themeColor="text1"/>
        </w:rPr>
      </w:pPr>
      <w:bookmarkStart w:id="11" w:name="_Toc16628"/>
      <w:r>
        <w:rPr>
          <w:rFonts w:cs="Times New Roman"/>
          <w:bCs w:val="0"/>
          <w:color w:val="000000" w:themeColor="text1"/>
        </w:rPr>
        <w:t>第二节  规划原则</w:t>
      </w:r>
      <w:bookmarkEnd w:id="11"/>
    </w:p>
    <w:p>
      <w:pPr>
        <w:ind w:firstLine="640"/>
        <w:rPr>
          <w:rFonts w:cs="Times New Roman"/>
          <w:color w:val="000000" w:themeColor="text1"/>
        </w:rPr>
      </w:pPr>
      <w:r>
        <w:rPr>
          <w:rFonts w:cs="Times New Roman"/>
          <w:color w:val="000000" w:themeColor="text1"/>
        </w:rPr>
        <w:t>结合片区定位，补齐短板。系统梳理片区安全生产、自然灾害、应急管理机制、应急救援队伍、应急物资储备、应急避难场所现状，摸清底数、找准问题，补齐片区应急体系短板。</w:t>
      </w:r>
    </w:p>
    <w:p>
      <w:pPr>
        <w:ind w:firstLine="640"/>
        <w:rPr>
          <w:rFonts w:cs="Times New Roman"/>
          <w:color w:val="000000" w:themeColor="text1"/>
        </w:rPr>
      </w:pPr>
      <w:bookmarkStart w:id="12" w:name="_Hlk104890368"/>
      <w:r>
        <w:rPr>
          <w:rFonts w:cs="Times New Roman"/>
          <w:color w:val="000000" w:themeColor="text1"/>
        </w:rPr>
        <w:t>强化资源整合，优化增量。充分利用“两项改革”后乡镇、村闲置房屋、学校、广场，结合片区国土空间总体规划，按照精准匹配要求，新增应急设施和物资，提高片区应急资源利用效率。</w:t>
      </w:r>
    </w:p>
    <w:bookmarkEnd w:id="12"/>
    <w:p>
      <w:pPr>
        <w:ind w:firstLine="640"/>
        <w:rPr>
          <w:rFonts w:cs="Times New Roman"/>
          <w:color w:val="000000" w:themeColor="text1"/>
        </w:rPr>
      </w:pPr>
      <w:r>
        <w:rPr>
          <w:rFonts w:cs="Times New Roman"/>
          <w:color w:val="000000" w:themeColor="text1"/>
        </w:rPr>
        <w:t>坚持统筹协调，因地制宜。有机衔接各级各类规划，充分结合片区乡镇实际情况，确定各乡镇防控重点，优化应急资源配置，做到片区内各乡镇之间优势互补，有效推动基层应急体系和应急能力现代化。</w:t>
      </w:r>
    </w:p>
    <w:p>
      <w:pPr>
        <w:ind w:firstLine="640"/>
        <w:rPr>
          <w:rFonts w:cs="Times New Roman"/>
          <w:color w:val="000000" w:themeColor="text1"/>
        </w:rPr>
      </w:pPr>
      <w:r>
        <w:rPr>
          <w:rFonts w:cs="Times New Roman"/>
          <w:color w:val="000000" w:themeColor="text1"/>
        </w:rPr>
        <w:t>构建共建共治，强化宣传。充分发挥社会协同防范，加强示范项目建设，加大宣传培训和科普力度，积极发挥乡镇、村领导干部带头作用，把提高社会公众自救互救能力摆在更加突出位置，构建共商共建共治共享新格局。</w:t>
      </w:r>
    </w:p>
    <w:bookmarkEnd w:id="1"/>
    <w:p>
      <w:pPr>
        <w:pStyle w:val="3"/>
        <w:rPr>
          <w:rFonts w:cs="Times New Roman"/>
          <w:bCs w:val="0"/>
          <w:color w:val="000000" w:themeColor="text1"/>
        </w:rPr>
      </w:pPr>
      <w:bookmarkStart w:id="13" w:name="_Toc91790473"/>
      <w:bookmarkStart w:id="14" w:name="_Toc98773624"/>
      <w:bookmarkStart w:id="15" w:name="_Toc5120"/>
      <w:r>
        <w:rPr>
          <w:rFonts w:cs="Times New Roman"/>
          <w:bCs w:val="0"/>
          <w:color w:val="000000" w:themeColor="text1"/>
        </w:rPr>
        <w:t xml:space="preserve">第二章 </w:t>
      </w:r>
      <w:bookmarkEnd w:id="13"/>
      <w:r>
        <w:rPr>
          <w:rFonts w:cs="Times New Roman"/>
          <w:bCs w:val="0"/>
          <w:color w:val="000000" w:themeColor="text1"/>
        </w:rPr>
        <w:t xml:space="preserve"> 规划背景</w:t>
      </w:r>
      <w:bookmarkEnd w:id="14"/>
      <w:bookmarkEnd w:id="15"/>
      <w:bookmarkStart w:id="16" w:name="_Toc98773625"/>
    </w:p>
    <w:p>
      <w:pPr>
        <w:pStyle w:val="4"/>
        <w:rPr>
          <w:rFonts w:cs="Times New Roman"/>
          <w:bCs w:val="0"/>
          <w:color w:val="000000" w:themeColor="text1"/>
        </w:rPr>
      </w:pPr>
      <w:bookmarkStart w:id="17" w:name="_Toc27334"/>
      <w:r>
        <w:rPr>
          <w:rFonts w:cs="Times New Roman"/>
          <w:bCs w:val="0"/>
          <w:color w:val="000000" w:themeColor="text1"/>
        </w:rPr>
        <w:t xml:space="preserve">第一节 </w:t>
      </w:r>
      <w:bookmarkEnd w:id="16"/>
      <w:r>
        <w:rPr>
          <w:rFonts w:cs="Times New Roman"/>
          <w:bCs w:val="0"/>
          <w:color w:val="000000" w:themeColor="text1"/>
        </w:rPr>
        <w:t>片区现状</w:t>
      </w:r>
      <w:bookmarkEnd w:id="17"/>
    </w:p>
    <w:p>
      <w:pPr>
        <w:ind w:firstLine="640"/>
        <w:rPr>
          <w:rFonts w:cs="Times New Roman"/>
          <w:color w:val="000000" w:themeColor="text1"/>
          <w:szCs w:val="32"/>
        </w:rPr>
      </w:pPr>
      <w:r>
        <w:rPr>
          <w:rFonts w:cs="Times New Roman"/>
          <w:color w:val="000000" w:themeColor="text1"/>
          <w:szCs w:val="32"/>
        </w:rPr>
        <w:t>周礼薯业现代农业发展片区基本情况。片区位于镇子西</w:t>
      </w:r>
      <w:r>
        <w:rPr>
          <w:rFonts w:hint="eastAsia" w:cs="Times New Roman"/>
          <w:color w:val="000000" w:themeColor="text1"/>
          <w:szCs w:val="32"/>
        </w:rPr>
        <w:t>南</w:t>
      </w:r>
      <w:r>
        <w:rPr>
          <w:rFonts w:cs="Times New Roman"/>
          <w:color w:val="000000" w:themeColor="text1"/>
          <w:szCs w:val="32"/>
        </w:rPr>
        <w:t>部，东接</w:t>
      </w:r>
      <w:r>
        <w:rPr>
          <w:rFonts w:hint="eastAsia" w:cs="Times New Roman"/>
          <w:color w:val="000000" w:themeColor="text1"/>
          <w:szCs w:val="32"/>
        </w:rPr>
        <w:t>大平镇、</w:t>
      </w:r>
      <w:r>
        <w:rPr>
          <w:rFonts w:cs="Times New Roman"/>
          <w:color w:val="000000" w:themeColor="text1"/>
          <w:szCs w:val="32"/>
        </w:rPr>
        <w:t>清流镇、</w:t>
      </w:r>
      <w:r>
        <w:rPr>
          <w:rFonts w:hint="eastAsia" w:cs="Times New Roman"/>
          <w:color w:val="000000" w:themeColor="text1"/>
          <w:szCs w:val="32"/>
        </w:rPr>
        <w:t>天林</w:t>
      </w:r>
      <w:r>
        <w:rPr>
          <w:rFonts w:cs="Times New Roman"/>
          <w:color w:val="000000" w:themeColor="text1"/>
          <w:szCs w:val="32"/>
        </w:rPr>
        <w:t>镇，西邻</w:t>
      </w:r>
      <w:r>
        <w:rPr>
          <w:rFonts w:hint="eastAsia" w:cs="Times New Roman"/>
          <w:color w:val="000000" w:themeColor="text1"/>
          <w:szCs w:val="32"/>
        </w:rPr>
        <w:t>内江市东兴区双桥镇、</w:t>
      </w:r>
      <w:r>
        <w:rPr>
          <w:rFonts w:cs="Times New Roman"/>
          <w:color w:val="000000" w:themeColor="text1"/>
          <w:szCs w:val="32"/>
        </w:rPr>
        <w:t>永福镇，南与</w:t>
      </w:r>
      <w:r>
        <w:rPr>
          <w:rFonts w:hint="eastAsia" w:cs="Times New Roman"/>
          <w:color w:val="000000" w:themeColor="text1"/>
          <w:szCs w:val="32"/>
        </w:rPr>
        <w:t>内江市资中县</w:t>
      </w:r>
      <w:r>
        <w:rPr>
          <w:rFonts w:cs="Times New Roman"/>
          <w:color w:val="000000" w:themeColor="text1"/>
          <w:szCs w:val="32"/>
        </w:rPr>
        <w:t>龙江镇为邻，北接</w:t>
      </w:r>
      <w:r>
        <w:rPr>
          <w:rFonts w:hint="eastAsia" w:cs="Times New Roman"/>
          <w:color w:val="000000" w:themeColor="text1"/>
          <w:szCs w:val="32"/>
        </w:rPr>
        <w:t>驯龙镇</w:t>
      </w:r>
      <w:r>
        <w:rPr>
          <w:rFonts w:cs="Times New Roman"/>
          <w:color w:val="000000" w:themeColor="text1"/>
          <w:szCs w:val="32"/>
        </w:rPr>
        <w:t>、</w:t>
      </w:r>
      <w:r>
        <w:rPr>
          <w:rFonts w:hint="eastAsia" w:cs="Times New Roman"/>
          <w:color w:val="000000" w:themeColor="text1"/>
          <w:szCs w:val="32"/>
        </w:rPr>
        <w:t>华严镇</w:t>
      </w:r>
      <w:r>
        <w:rPr>
          <w:rFonts w:cs="Times New Roman"/>
          <w:color w:val="000000" w:themeColor="text1"/>
          <w:szCs w:val="32"/>
        </w:rPr>
        <w:t>、</w:t>
      </w:r>
      <w:r>
        <w:rPr>
          <w:rFonts w:hint="eastAsia" w:cs="Times New Roman"/>
          <w:color w:val="000000" w:themeColor="text1"/>
          <w:szCs w:val="32"/>
        </w:rPr>
        <w:t>朝阳镇</w:t>
      </w:r>
      <w:r>
        <w:rPr>
          <w:rFonts w:cs="Times New Roman"/>
          <w:color w:val="000000" w:themeColor="text1"/>
          <w:szCs w:val="32"/>
        </w:rPr>
        <w:t>。包含</w:t>
      </w:r>
      <w:r>
        <w:rPr>
          <w:rFonts w:hint="eastAsia" w:cs="Times New Roman"/>
          <w:color w:val="000000" w:themeColor="text1"/>
          <w:szCs w:val="32"/>
        </w:rPr>
        <w:t>周礼镇</w:t>
      </w:r>
      <w:r>
        <w:rPr>
          <w:rFonts w:cs="Times New Roman"/>
          <w:color w:val="000000" w:themeColor="text1"/>
          <w:szCs w:val="32"/>
        </w:rPr>
        <w:t>、</w:t>
      </w:r>
      <w:r>
        <w:rPr>
          <w:rFonts w:hint="eastAsia" w:cs="Times New Roman"/>
          <w:color w:val="000000" w:themeColor="text1"/>
          <w:szCs w:val="32"/>
        </w:rPr>
        <w:t>镇子镇</w:t>
      </w:r>
      <w:r>
        <w:rPr>
          <w:rFonts w:cs="Times New Roman"/>
          <w:color w:val="000000" w:themeColor="text1"/>
          <w:szCs w:val="32"/>
        </w:rPr>
        <w:t>、</w:t>
      </w:r>
      <w:r>
        <w:rPr>
          <w:rFonts w:hint="eastAsia" w:cs="Times New Roman"/>
          <w:color w:val="000000" w:themeColor="text1"/>
          <w:szCs w:val="32"/>
        </w:rPr>
        <w:t>大平镇</w:t>
      </w:r>
      <w:r>
        <w:rPr>
          <w:rFonts w:cs="Times New Roman"/>
          <w:color w:val="000000" w:themeColor="text1"/>
          <w:szCs w:val="32"/>
        </w:rPr>
        <w:t>、</w:t>
      </w:r>
      <w:r>
        <w:rPr>
          <w:rFonts w:hint="eastAsia" w:cs="Times New Roman"/>
          <w:color w:val="000000" w:themeColor="text1"/>
          <w:szCs w:val="32"/>
        </w:rPr>
        <w:t>南薰镇</w:t>
      </w:r>
      <w:r>
        <w:rPr>
          <w:rFonts w:cs="Times New Roman"/>
          <w:color w:val="000000" w:themeColor="text1"/>
          <w:szCs w:val="32"/>
        </w:rPr>
        <w:t>、</w:t>
      </w:r>
      <w:r>
        <w:rPr>
          <w:rFonts w:hint="eastAsia" w:cs="Times New Roman"/>
          <w:color w:val="000000" w:themeColor="text1"/>
          <w:szCs w:val="32"/>
        </w:rPr>
        <w:t>千佛乡</w:t>
      </w:r>
      <w:r>
        <w:rPr>
          <w:rFonts w:cs="Times New Roman"/>
          <w:color w:val="000000" w:themeColor="text1"/>
          <w:szCs w:val="32"/>
        </w:rPr>
        <w:t>、</w:t>
      </w:r>
      <w:r>
        <w:rPr>
          <w:rFonts w:hint="eastAsia" w:cs="Times New Roman"/>
          <w:color w:val="000000" w:themeColor="text1"/>
          <w:szCs w:val="32"/>
        </w:rPr>
        <w:t>拱桥乡六</w:t>
      </w:r>
      <w:r>
        <w:rPr>
          <w:rFonts w:cs="Times New Roman"/>
          <w:color w:val="000000" w:themeColor="text1"/>
          <w:szCs w:val="32"/>
        </w:rPr>
        <w:t>个乡镇，片区规划</w:t>
      </w:r>
      <w:r>
        <w:rPr>
          <w:rFonts w:hint="eastAsia" w:cs="Times New Roman"/>
          <w:color w:val="000000" w:themeColor="text1"/>
          <w:szCs w:val="32"/>
        </w:rPr>
        <w:t>“1个</w:t>
      </w:r>
      <w:r>
        <w:rPr>
          <w:rFonts w:cs="Times New Roman"/>
          <w:color w:val="000000" w:themeColor="text1"/>
          <w:szCs w:val="32"/>
        </w:rPr>
        <w:t>中心镇</w:t>
      </w:r>
      <w:r>
        <w:rPr>
          <w:rFonts w:hint="eastAsia" w:cs="Times New Roman"/>
          <w:color w:val="000000" w:themeColor="text1"/>
          <w:szCs w:val="32"/>
        </w:rPr>
        <w:t>周礼镇</w:t>
      </w:r>
      <w:r>
        <w:rPr>
          <w:rFonts w:cs="Times New Roman"/>
          <w:color w:val="000000" w:themeColor="text1"/>
          <w:szCs w:val="32"/>
        </w:rPr>
        <w:t>，</w:t>
      </w:r>
      <w:r>
        <w:rPr>
          <w:rFonts w:hint="eastAsia" w:cs="Times New Roman"/>
          <w:color w:val="000000" w:themeColor="text1"/>
          <w:szCs w:val="32"/>
        </w:rPr>
        <w:t>1个副</w:t>
      </w:r>
      <w:r>
        <w:rPr>
          <w:rFonts w:cs="Times New Roman"/>
          <w:color w:val="000000" w:themeColor="text1"/>
          <w:szCs w:val="32"/>
        </w:rPr>
        <w:t>中心镇</w:t>
      </w:r>
      <w:r>
        <w:rPr>
          <w:rFonts w:hint="eastAsia" w:cs="Times New Roman"/>
          <w:color w:val="000000" w:themeColor="text1"/>
          <w:szCs w:val="32"/>
        </w:rPr>
        <w:t>镇子镇，</w:t>
      </w:r>
      <w:r>
        <w:rPr>
          <w:rFonts w:cs="Times New Roman"/>
          <w:color w:val="000000" w:themeColor="text1"/>
          <w:szCs w:val="32"/>
        </w:rPr>
        <w:t>4个一般乡镇</w:t>
      </w:r>
      <w:r>
        <w:rPr>
          <w:rFonts w:hint="eastAsia" w:cs="Times New Roman"/>
          <w:color w:val="000000" w:themeColor="text1"/>
          <w:szCs w:val="32"/>
        </w:rPr>
        <w:t>（大平镇</w:t>
      </w:r>
      <w:r>
        <w:rPr>
          <w:rFonts w:cs="Times New Roman"/>
          <w:color w:val="000000" w:themeColor="text1"/>
          <w:szCs w:val="32"/>
        </w:rPr>
        <w:t>、</w:t>
      </w:r>
      <w:r>
        <w:rPr>
          <w:rFonts w:hint="eastAsia" w:cs="Times New Roman"/>
          <w:color w:val="000000" w:themeColor="text1"/>
          <w:szCs w:val="32"/>
        </w:rPr>
        <w:t>南薰镇</w:t>
      </w:r>
      <w:r>
        <w:rPr>
          <w:rFonts w:cs="Times New Roman"/>
          <w:color w:val="000000" w:themeColor="text1"/>
          <w:szCs w:val="32"/>
        </w:rPr>
        <w:t>、</w:t>
      </w:r>
      <w:r>
        <w:rPr>
          <w:rFonts w:hint="eastAsia" w:cs="Times New Roman"/>
          <w:color w:val="000000" w:themeColor="text1"/>
          <w:szCs w:val="32"/>
        </w:rPr>
        <w:t>千佛乡</w:t>
      </w:r>
      <w:r>
        <w:rPr>
          <w:rFonts w:cs="Times New Roman"/>
          <w:color w:val="000000" w:themeColor="text1"/>
          <w:szCs w:val="32"/>
        </w:rPr>
        <w:t>、</w:t>
      </w:r>
      <w:r>
        <w:rPr>
          <w:rFonts w:hint="eastAsia" w:cs="Times New Roman"/>
          <w:color w:val="000000" w:themeColor="text1"/>
          <w:szCs w:val="32"/>
        </w:rPr>
        <w:t>拱桥乡），</w:t>
      </w:r>
      <w:r>
        <w:rPr>
          <w:rFonts w:cs="Times New Roman"/>
          <w:color w:val="000000" w:themeColor="text1"/>
          <w:szCs w:val="32"/>
        </w:rPr>
        <w:t> ‘两项改革’后为78个村（社区），规划16个村级片区，21个中心村，其中双中心5个</w:t>
      </w:r>
      <w:r>
        <w:rPr>
          <w:rFonts w:hint="eastAsia" w:cs="Times New Roman"/>
          <w:color w:val="000000" w:themeColor="text1"/>
          <w:szCs w:val="32"/>
        </w:rPr>
        <w:t>，</w:t>
      </w:r>
      <w:r>
        <w:rPr>
          <w:rFonts w:cs="Times New Roman"/>
          <w:color w:val="000000" w:themeColor="text1"/>
          <w:szCs w:val="32"/>
        </w:rPr>
        <w:t>57个一般村</w:t>
      </w:r>
      <w:r>
        <w:rPr>
          <w:rFonts w:hint="eastAsia" w:cs="Times New Roman"/>
          <w:color w:val="000000" w:themeColor="text1"/>
          <w:szCs w:val="32"/>
        </w:rPr>
        <w:t>”</w:t>
      </w:r>
      <w:r>
        <w:rPr>
          <w:rFonts w:cs="Times New Roman"/>
          <w:color w:val="000000" w:themeColor="text1"/>
          <w:szCs w:val="32"/>
        </w:rPr>
        <w:t>的镇村体系。片区总面积375.77平方公里。2020年户籍人口</w:t>
      </w:r>
      <w:r>
        <w:rPr>
          <w:rFonts w:hint="eastAsia" w:cs="Times New Roman"/>
          <w:color w:val="000000" w:themeColor="text1"/>
          <w:szCs w:val="32"/>
        </w:rPr>
        <w:t>23</w:t>
      </w:r>
      <w:r>
        <w:rPr>
          <w:rFonts w:cs="Times New Roman"/>
          <w:color w:val="000000" w:themeColor="text1"/>
          <w:szCs w:val="32"/>
        </w:rPr>
        <w:t>0,063人，“七普”常住人口118,517人，预期2035年常住人口100,499人，人口年均</w:t>
      </w:r>
      <w:r>
        <w:rPr>
          <w:rFonts w:hint="eastAsia" w:cs="Times New Roman"/>
          <w:color w:val="000000" w:themeColor="text1"/>
          <w:szCs w:val="32"/>
        </w:rPr>
        <w:t>下降</w:t>
      </w:r>
      <w:r>
        <w:rPr>
          <w:rFonts w:cs="Times New Roman"/>
          <w:color w:val="000000" w:themeColor="text1"/>
          <w:szCs w:val="32"/>
        </w:rPr>
        <w:t>0.7%。片区</w:t>
      </w:r>
      <w:r>
        <w:rPr>
          <w:rFonts w:hint="eastAsia" w:cs="Times New Roman"/>
          <w:color w:val="000000" w:themeColor="text1"/>
          <w:szCs w:val="32"/>
        </w:rPr>
        <w:t>乡镇</w:t>
      </w:r>
      <w:r>
        <w:rPr>
          <w:rFonts w:cs="Times New Roman"/>
          <w:color w:val="000000" w:themeColor="text1"/>
          <w:szCs w:val="32"/>
        </w:rPr>
        <w:t>老旧小区6处，其它重点单位3处，农村多为居民自建房。片区过境道路有</w:t>
      </w:r>
      <w:r>
        <w:rPr>
          <w:rFonts w:hint="eastAsia" w:cs="Times New Roman"/>
          <w:color w:val="000000" w:themeColor="text1"/>
          <w:szCs w:val="32"/>
        </w:rPr>
        <w:t>遂宜毕高速穿境而过，在南薰镇紧靠周礼镇交界处设有出入口，资中至铜梁高速公路也将在该片区设置出入口， G247、S</w:t>
      </w:r>
      <w:r>
        <w:rPr>
          <w:rFonts w:cs="Times New Roman"/>
          <w:color w:val="000000" w:themeColor="text1"/>
          <w:szCs w:val="32"/>
        </w:rPr>
        <w:t>109</w:t>
      </w:r>
      <w:r>
        <w:rPr>
          <w:rFonts w:hint="eastAsia" w:cs="Times New Roman"/>
          <w:color w:val="000000" w:themeColor="text1"/>
          <w:szCs w:val="32"/>
        </w:rPr>
        <w:t>、绵遂内铁路,乡村道路8</w:t>
      </w:r>
      <w:r>
        <w:rPr>
          <w:rFonts w:cs="Times New Roman"/>
          <w:color w:val="000000" w:themeColor="text1"/>
          <w:szCs w:val="32"/>
        </w:rPr>
        <w:t>41</w:t>
      </w:r>
      <w:r>
        <w:rPr>
          <w:rFonts w:hint="eastAsia" w:cs="Times New Roman"/>
          <w:color w:val="000000" w:themeColor="text1"/>
          <w:szCs w:val="32"/>
        </w:rPr>
        <w:t>.7公里</w:t>
      </w:r>
      <w:r>
        <w:rPr>
          <w:rFonts w:cs="Times New Roman"/>
          <w:color w:val="000000" w:themeColor="text1"/>
          <w:szCs w:val="32"/>
        </w:rPr>
        <w:t>。本片区属川中丘陵浅丘地貌。</w:t>
      </w:r>
      <w:bookmarkStart w:id="18" w:name="_Hlk104997258"/>
      <w:r>
        <w:rPr>
          <w:rFonts w:cs="Times New Roman"/>
          <w:color w:val="000000" w:themeColor="text1"/>
          <w:szCs w:val="32"/>
        </w:rPr>
        <w:t>片区年平均降水量924.9毫米</w:t>
      </w:r>
      <w:bookmarkEnd w:id="18"/>
      <w:r>
        <w:rPr>
          <w:rFonts w:cs="Times New Roman"/>
          <w:color w:val="000000" w:themeColor="text1"/>
          <w:szCs w:val="32"/>
        </w:rPr>
        <w:t>。片区</w:t>
      </w:r>
      <w:r>
        <w:rPr>
          <w:rFonts w:hint="eastAsia" w:cs="Times New Roman"/>
          <w:color w:val="000000" w:themeColor="text1"/>
          <w:szCs w:val="32"/>
        </w:rPr>
        <w:t>建有康家桥水库、石坝子水库、鱼鳞碑水库、八井口水库、洪家庙水库、三教奄水库、唐家沟水库</w:t>
      </w:r>
      <w:r>
        <w:rPr>
          <w:rFonts w:cs="Times New Roman"/>
          <w:color w:val="000000" w:themeColor="text1"/>
          <w:szCs w:val="32"/>
        </w:rPr>
        <w:t>。</w:t>
      </w:r>
      <w:r>
        <w:rPr>
          <w:rFonts w:hint="eastAsia" w:cs="Times New Roman"/>
          <w:color w:val="000000" w:themeColor="text1"/>
          <w:szCs w:val="32"/>
        </w:rPr>
        <w:t>永峰</w:t>
      </w:r>
      <w:r>
        <w:rPr>
          <w:rFonts w:cs="Times New Roman"/>
          <w:color w:val="000000" w:themeColor="text1"/>
          <w:szCs w:val="32"/>
        </w:rPr>
        <w:t>河、</w:t>
      </w:r>
      <w:r>
        <w:rPr>
          <w:rFonts w:hint="eastAsia" w:cs="Times New Roman"/>
          <w:color w:val="000000" w:themeColor="text1"/>
          <w:szCs w:val="32"/>
        </w:rPr>
        <w:t>小蒙</w:t>
      </w:r>
      <w:r>
        <w:rPr>
          <w:rFonts w:cs="Times New Roman"/>
          <w:color w:val="000000" w:themeColor="text1"/>
          <w:szCs w:val="32"/>
        </w:rPr>
        <w:t>溪</w:t>
      </w:r>
      <w:r>
        <w:rPr>
          <w:rFonts w:hint="eastAsia" w:cs="Times New Roman"/>
          <w:color w:val="000000" w:themeColor="text1"/>
          <w:szCs w:val="32"/>
        </w:rPr>
        <w:t>河、拱桥河、龙江河</w:t>
      </w:r>
      <w:r>
        <w:rPr>
          <w:rFonts w:cs="Times New Roman"/>
          <w:color w:val="000000" w:themeColor="text1"/>
          <w:szCs w:val="32"/>
        </w:rPr>
        <w:t>流经片区。</w:t>
      </w:r>
    </w:p>
    <w:p>
      <w:pPr>
        <w:ind w:firstLine="640"/>
        <w:rPr>
          <w:rFonts w:cs="Times New Roman"/>
          <w:color w:val="000000" w:themeColor="text1"/>
          <w:szCs w:val="32"/>
        </w:rPr>
      </w:pPr>
      <w:r>
        <w:rPr>
          <w:rFonts w:cs="Times New Roman"/>
          <w:color w:val="000000" w:themeColor="text1"/>
          <w:szCs w:val="32"/>
        </w:rPr>
        <w:t>片区</w:t>
      </w:r>
      <w:r>
        <w:rPr>
          <w:rFonts w:hint="eastAsia" w:cs="Times New Roman"/>
          <w:color w:val="000000" w:themeColor="text1"/>
          <w:szCs w:val="32"/>
        </w:rPr>
        <w:t>依托红薯、生猪、绿色生态蔬菜等农业资源和产业基础，大力发展农产品初精深加工、农产品交易、农业生产性服务等业态，促进一二三产互动融合高质量发展，打造成渝地区中部特色农产品供给地、资阳市薯业现代农业示范区、安岳县生态宜居建设典范。</w:t>
      </w:r>
    </w:p>
    <w:p>
      <w:pPr>
        <w:ind w:firstLine="640"/>
        <w:rPr>
          <w:rFonts w:cs="Times New Roman"/>
          <w:color w:val="000000" w:themeColor="text1"/>
          <w:szCs w:val="32"/>
        </w:rPr>
      </w:pPr>
      <w:r>
        <w:rPr>
          <w:rFonts w:cs="Times New Roman"/>
          <w:color w:val="000000" w:themeColor="text1"/>
        </w:rPr>
        <w:t>安全生产情况</w:t>
      </w:r>
      <w:bookmarkStart w:id="19" w:name="_Hlk104242486"/>
      <w:r>
        <w:rPr>
          <w:rFonts w:cs="Times New Roman"/>
          <w:color w:val="000000" w:themeColor="text1"/>
        </w:rPr>
        <w:t>。</w:t>
      </w:r>
      <w:r>
        <w:rPr>
          <w:rFonts w:cs="Times New Roman"/>
        </w:rPr>
        <w:t>片区现有学校26</w:t>
      </w:r>
      <w:r>
        <w:rPr>
          <w:rFonts w:hint="eastAsia" w:cs="Times New Roman"/>
        </w:rPr>
        <w:t>处</w:t>
      </w:r>
      <w:r>
        <w:rPr>
          <w:rFonts w:cs="Times New Roman"/>
        </w:rPr>
        <w:t>，医疗机构12处，养老机构6处。有蜀南气矿安岳开采作业区含硫生产井</w:t>
      </w:r>
      <w:bookmarkEnd w:id="19"/>
      <w:r>
        <w:rPr>
          <w:rFonts w:cs="Times New Roman"/>
        </w:rPr>
        <w:t>12口，分布在周礼镇1口、镇子镇11口。</w:t>
      </w:r>
      <w:r>
        <w:rPr>
          <w:rFonts w:cs="Times New Roman"/>
          <w:color w:val="000000" w:themeColor="text1"/>
        </w:rPr>
        <w:t>特种设备有</w:t>
      </w:r>
      <w:r>
        <w:rPr>
          <w:rFonts w:cs="Times New Roman"/>
          <w:color w:val="000000" w:themeColor="text1"/>
          <w:szCs w:val="32"/>
        </w:rPr>
        <w:t>压力管道（输送天然气）53.576公里，压力容器43台，电梯15台，起重机械2台，场（厂）内机动车辆2台</w:t>
      </w:r>
      <w:r>
        <w:rPr>
          <w:rFonts w:cs="Times New Roman"/>
          <w:color w:val="000000" w:themeColor="text1"/>
        </w:rPr>
        <w:t>。</w:t>
      </w:r>
      <w:bookmarkStart w:id="20" w:name="_Hlk104242520"/>
      <w:r>
        <w:rPr>
          <w:rFonts w:hint="eastAsia" w:cs="Times New Roman"/>
          <w:color w:val="000000" w:themeColor="text1"/>
        </w:rPr>
        <w:t>工贸企业7个，其中周礼6个，大平1个。</w:t>
      </w:r>
      <w:r>
        <w:rPr>
          <w:rFonts w:cs="Times New Roman"/>
          <w:color w:val="000000" w:themeColor="text1"/>
          <w:szCs w:val="32"/>
        </w:rPr>
        <w:t>危险化学品企业（加油站）</w:t>
      </w:r>
      <w:bookmarkEnd w:id="20"/>
      <w:r>
        <w:rPr>
          <w:rFonts w:cs="Times New Roman"/>
          <w:color w:val="000000" w:themeColor="text1"/>
          <w:szCs w:val="32"/>
        </w:rPr>
        <w:t>6个；分布在周礼镇2个、镇子镇3个、南薰镇1个；城镇燃气（液化气经营）1个在</w:t>
      </w:r>
      <w:r>
        <w:rPr>
          <w:rFonts w:hint="eastAsia" w:cs="Times New Roman"/>
          <w:color w:val="000000" w:themeColor="text1"/>
          <w:szCs w:val="32"/>
        </w:rPr>
        <w:t>周礼</w:t>
      </w:r>
      <w:r>
        <w:rPr>
          <w:rFonts w:cs="Times New Roman"/>
          <w:color w:val="000000" w:themeColor="text1"/>
          <w:szCs w:val="32"/>
        </w:rPr>
        <w:t>镇。</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文旅：片区有农家乐3家</w:t>
      </w:r>
      <w:r>
        <w:rPr>
          <w:rFonts w:hint="eastAsia" w:ascii="Times New Roman" w:hAnsi="Times New Roman" w:eastAsia="仿宋" w:cs="Times New Roman"/>
          <w:color w:val="000000" w:themeColor="text1"/>
          <w:sz w:val="32"/>
          <w:szCs w:val="22"/>
        </w:rPr>
        <w:t>，无</w:t>
      </w:r>
      <w:r>
        <w:rPr>
          <w:rFonts w:ascii="Times New Roman" w:hAnsi="Times New Roman" w:eastAsia="仿宋" w:cs="Times New Roman"/>
          <w:color w:val="000000" w:themeColor="text1"/>
          <w:sz w:val="32"/>
          <w:szCs w:val="22"/>
        </w:rPr>
        <w:t>旅游景区</w:t>
      </w:r>
      <w:r>
        <w:rPr>
          <w:rFonts w:hint="eastAsia" w:ascii="Times New Roman" w:hAnsi="Times New Roman" w:eastAsia="仿宋" w:cs="Times New Roman"/>
          <w:color w:val="000000" w:themeColor="text1"/>
          <w:sz w:val="32"/>
          <w:szCs w:val="22"/>
        </w:rPr>
        <w:t>和</w:t>
      </w:r>
      <w:r>
        <w:rPr>
          <w:rFonts w:ascii="Times New Roman" w:hAnsi="Times New Roman" w:eastAsia="仿宋" w:cs="Times New Roman"/>
          <w:color w:val="000000" w:themeColor="text1"/>
          <w:sz w:val="32"/>
          <w:szCs w:val="22"/>
        </w:rPr>
        <w:t>民宿。</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城乡消防情况：片区内现有镇子</w:t>
      </w:r>
      <w:r>
        <w:rPr>
          <w:rFonts w:hint="eastAsia" w:ascii="Times New Roman" w:hAnsi="Times New Roman" w:eastAsia="仿宋" w:cs="Times New Roman"/>
          <w:color w:val="000000" w:themeColor="text1"/>
          <w:sz w:val="32"/>
          <w:szCs w:val="22"/>
        </w:rPr>
        <w:t>政府专职</w:t>
      </w:r>
      <w:r>
        <w:rPr>
          <w:rFonts w:ascii="Times New Roman" w:hAnsi="Times New Roman" w:eastAsia="仿宋" w:cs="Times New Roman"/>
          <w:color w:val="000000" w:themeColor="text1"/>
          <w:sz w:val="32"/>
          <w:szCs w:val="22"/>
        </w:rPr>
        <w:t>消防救援站</w:t>
      </w:r>
      <w:r>
        <w:rPr>
          <w:rFonts w:hint="eastAsia" w:ascii="Times New Roman" w:hAnsi="Times New Roman" w:eastAsia="仿宋" w:cs="Times New Roman"/>
          <w:color w:val="000000" w:themeColor="text1"/>
          <w:sz w:val="32"/>
          <w:szCs w:val="22"/>
        </w:rPr>
        <w:t>1个</w:t>
      </w:r>
      <w:r>
        <w:rPr>
          <w:rFonts w:ascii="Times New Roman" w:hAnsi="Times New Roman" w:eastAsia="仿宋" w:cs="Times New Roman"/>
          <w:color w:val="000000" w:themeColor="text1"/>
          <w:sz w:val="32"/>
          <w:szCs w:val="22"/>
        </w:rPr>
        <w:t>。</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农业农村情况：农村自建房危房74处、农村使用管道天然气、液化气和农作物秸秆作燃料。</w:t>
      </w:r>
    </w:p>
    <w:p>
      <w:pPr>
        <w:ind w:firstLine="640"/>
        <w:rPr>
          <w:rFonts w:cs="Times New Roman"/>
          <w:color w:val="FF0000"/>
        </w:rPr>
      </w:pPr>
      <w:r>
        <w:rPr>
          <w:rFonts w:hint="eastAsia" w:cs="Times New Roman"/>
          <w:color w:val="000000" w:themeColor="text1"/>
        </w:rPr>
        <w:t>2016-2021年共发生人员生产安全事故</w:t>
      </w:r>
      <w:r>
        <w:rPr>
          <w:rFonts w:hint="eastAsia" w:cs="Times New Roman"/>
          <w:color w:val="000000" w:themeColor="text1"/>
          <w:lang w:val="en-US" w:eastAsia="zh-CN"/>
        </w:rPr>
        <w:t>10</w:t>
      </w:r>
      <w:r>
        <w:rPr>
          <w:rFonts w:hint="eastAsia" w:cs="Times New Roman"/>
          <w:color w:val="000000" w:themeColor="text1"/>
        </w:rPr>
        <w:t>起，死亡</w:t>
      </w:r>
      <w:r>
        <w:rPr>
          <w:rFonts w:hint="eastAsia" w:cs="Times New Roman"/>
          <w:color w:val="000000" w:themeColor="text1"/>
          <w:lang w:val="en-US" w:eastAsia="zh-CN"/>
        </w:rPr>
        <w:t>9</w:t>
      </w:r>
      <w:r>
        <w:rPr>
          <w:rFonts w:hint="eastAsia" w:cs="Times New Roman"/>
          <w:color w:val="000000" w:themeColor="text1"/>
        </w:rPr>
        <w:t>人</w:t>
      </w:r>
      <w:r>
        <w:rPr>
          <w:rFonts w:hint="eastAsia" w:cs="Times New Roman"/>
          <w:color w:val="000000" w:themeColor="text1"/>
          <w:lang w:eastAsia="zh-CN"/>
        </w:rPr>
        <w:t>、</w:t>
      </w:r>
      <w:r>
        <w:rPr>
          <w:rFonts w:hint="eastAsia" w:cs="Times New Roman"/>
          <w:color w:val="000000" w:themeColor="text1"/>
          <w:lang w:val="en-US" w:eastAsia="zh-CN"/>
        </w:rPr>
        <w:t>受伤3人，</w:t>
      </w:r>
      <w:r>
        <w:rPr>
          <w:rFonts w:hint="eastAsia" w:cs="Times New Roman"/>
          <w:color w:val="000000" w:themeColor="text1"/>
        </w:rPr>
        <w:t>（</w:t>
      </w:r>
      <w:r>
        <w:rPr>
          <w:rFonts w:hint="eastAsia" w:cs="Times New Roman"/>
          <w:color w:val="000000" w:themeColor="text1"/>
          <w:lang w:val="en-US" w:eastAsia="zh-CN"/>
        </w:rPr>
        <w:t>其中生产经营性道路交通事故9起，</w:t>
      </w:r>
      <w:r>
        <w:rPr>
          <w:rFonts w:hint="eastAsia" w:cs="Times New Roman"/>
          <w:color w:val="000000" w:themeColor="text1"/>
        </w:rPr>
        <w:t>死亡</w:t>
      </w:r>
      <w:r>
        <w:rPr>
          <w:rFonts w:hint="eastAsia" w:cs="Times New Roman"/>
          <w:color w:val="000000" w:themeColor="text1"/>
          <w:lang w:val="en-US" w:eastAsia="zh-CN"/>
        </w:rPr>
        <w:t>8</w:t>
      </w:r>
      <w:r>
        <w:rPr>
          <w:rFonts w:hint="eastAsia" w:cs="Times New Roman"/>
          <w:color w:val="000000" w:themeColor="text1"/>
        </w:rPr>
        <w:t>人</w:t>
      </w:r>
      <w:r>
        <w:rPr>
          <w:rFonts w:hint="eastAsia" w:cs="Times New Roman"/>
          <w:color w:val="000000" w:themeColor="text1"/>
          <w:lang w:eastAsia="zh-CN"/>
        </w:rPr>
        <w:t>、</w:t>
      </w:r>
      <w:r>
        <w:rPr>
          <w:rFonts w:hint="eastAsia" w:cs="Times New Roman"/>
          <w:color w:val="000000" w:themeColor="text1"/>
          <w:lang w:val="en-US" w:eastAsia="zh-CN"/>
        </w:rPr>
        <w:t>受伤2人</w:t>
      </w:r>
      <w:r>
        <w:rPr>
          <w:rFonts w:hint="eastAsia" w:cs="Times New Roman"/>
          <w:color w:val="000000" w:themeColor="text1"/>
          <w:lang w:eastAsia="zh-CN"/>
        </w:rPr>
        <w:t>）</w:t>
      </w:r>
      <w:r>
        <w:rPr>
          <w:rFonts w:hint="eastAsia" w:cs="Times New Roman"/>
          <w:color w:val="000000" w:themeColor="text1"/>
        </w:rPr>
        <w:t>。</w:t>
      </w:r>
    </w:p>
    <w:p>
      <w:pPr>
        <w:ind w:firstLine="640"/>
        <w:rPr>
          <w:rFonts w:cs="Times New Roman"/>
          <w:color w:val="000000" w:themeColor="text1"/>
        </w:rPr>
      </w:pPr>
      <w:r>
        <w:rPr>
          <w:rFonts w:cs="Times New Roman"/>
          <w:color w:val="000000" w:themeColor="text1"/>
        </w:rPr>
        <w:t>自然灾害情况。片区存在以下几类自然灾害：洪涝灾害、地质灾害、森林火灾和地震灾害。</w:t>
      </w:r>
    </w:p>
    <w:p>
      <w:pPr>
        <w:ind w:firstLine="640"/>
        <w:rPr>
          <w:rFonts w:cs="Times New Roman"/>
          <w:color w:val="000000" w:themeColor="text1"/>
        </w:rPr>
      </w:pPr>
      <w:bookmarkStart w:id="21" w:name="_Hlk104234221"/>
      <w:r>
        <w:rPr>
          <w:rFonts w:cs="Times New Roman"/>
          <w:color w:val="000000" w:themeColor="text1"/>
          <w:szCs w:val="32"/>
        </w:rPr>
        <w:t>洪涝灾害：片区内洪涝灾害频繁，</w:t>
      </w:r>
      <w:r>
        <w:rPr>
          <w:rFonts w:cs="Times New Roman"/>
          <w:color w:val="000000" w:themeColor="text1"/>
        </w:rPr>
        <w:t>主要为暴雨。年平均降雨量924.9mm，5-9月雨量集中强度大，平均降水达到785.0mm，占全年降水的85.%。</w:t>
      </w:r>
      <w:r>
        <w:rPr>
          <w:rFonts w:cs="Times New Roman"/>
          <w:color w:val="000000" w:themeColor="text1"/>
          <w:szCs w:val="32"/>
        </w:rPr>
        <w:t>汛期区域性大洪水或特大洪水少见，但山洪灾害易发频发，片区“</w:t>
      </w:r>
      <w:r>
        <w:rPr>
          <w:rFonts w:cs="Times New Roman"/>
          <w:color w:val="000000" w:themeColor="text1"/>
        </w:rPr>
        <w:t>十三五”完</w:t>
      </w:r>
      <w:r>
        <w:rPr>
          <w:rFonts w:cs="Times New Roman"/>
          <w:color w:val="000000" w:themeColor="text1"/>
          <w:szCs w:val="32"/>
        </w:rPr>
        <w:t>成</w:t>
      </w:r>
      <w:r>
        <w:rPr>
          <w:rFonts w:hint="eastAsia" w:cs="Times New Roman"/>
          <w:color w:val="000000" w:themeColor="text1"/>
          <w:szCs w:val="32"/>
        </w:rPr>
        <w:t>石坝子水库</w:t>
      </w:r>
      <w:r>
        <w:rPr>
          <w:rFonts w:cs="Times New Roman"/>
          <w:color w:val="000000" w:themeColor="text1"/>
          <w:szCs w:val="32"/>
        </w:rPr>
        <w:t>除险加固工程，片区有水库和蓄水池32座，库</w:t>
      </w:r>
      <w:r>
        <w:rPr>
          <w:rFonts w:cs="Times New Roman"/>
          <w:color w:val="000000" w:themeColor="text1"/>
        </w:rPr>
        <w:t>容</w:t>
      </w:r>
      <w:r>
        <w:rPr>
          <w:rFonts w:hint="eastAsia" w:cs="Times New Roman"/>
          <w:color w:val="000000" w:themeColor="text1"/>
        </w:rPr>
        <w:t>1712</w:t>
      </w:r>
      <w:r>
        <w:rPr>
          <w:rFonts w:cs="Times New Roman"/>
          <w:color w:val="000000" w:themeColor="text1"/>
        </w:rPr>
        <w:t>.515万立方，</w:t>
      </w:r>
      <w:r>
        <w:rPr>
          <w:rFonts w:cs="Times New Roman"/>
          <w:color w:val="000000" w:themeColor="text1"/>
          <w:szCs w:val="32"/>
        </w:rPr>
        <w:t>水域较大安全隐患点位</w:t>
      </w:r>
      <w:r>
        <w:rPr>
          <w:rFonts w:hint="eastAsia" w:cs="Times New Roman"/>
          <w:color w:val="000000" w:themeColor="text1"/>
          <w:szCs w:val="32"/>
        </w:rPr>
        <w:t>3</w:t>
      </w:r>
      <w:r>
        <w:rPr>
          <w:rFonts w:cs="Times New Roman"/>
          <w:color w:val="000000" w:themeColor="text1"/>
          <w:szCs w:val="32"/>
        </w:rPr>
        <w:t>处。</w:t>
      </w:r>
    </w:p>
    <w:p>
      <w:pPr>
        <w:ind w:firstLine="640"/>
        <w:rPr>
          <w:rFonts w:cs="Times New Roman"/>
          <w:color w:val="000000" w:themeColor="text1"/>
        </w:rPr>
      </w:pPr>
      <w:r>
        <w:rPr>
          <w:rFonts w:cs="Times New Roman"/>
          <w:color w:val="000000" w:themeColor="text1"/>
          <w:szCs w:val="32"/>
        </w:rPr>
        <w:t>区域内洪涝灾害隐患点位</w:t>
      </w:r>
      <w:r>
        <w:rPr>
          <w:rFonts w:hint="eastAsia" w:cs="Times New Roman"/>
          <w:color w:val="000000" w:themeColor="text1"/>
          <w:szCs w:val="32"/>
        </w:rPr>
        <w:t>3</w:t>
      </w:r>
      <w:r>
        <w:rPr>
          <w:rFonts w:cs="Times New Roman"/>
          <w:color w:val="000000" w:themeColor="text1"/>
          <w:szCs w:val="32"/>
        </w:rPr>
        <w:t>处，受影响人数759人。2016-2021年片区发生20次洪涝灾害，直接经济损失848万元。</w:t>
      </w:r>
      <w:r>
        <w:rPr>
          <w:rFonts w:hint="eastAsia" w:cs="Times New Roman"/>
          <w:color w:val="000000" w:themeColor="text1"/>
          <w:szCs w:val="32"/>
        </w:rPr>
        <w:t>干旱</w:t>
      </w:r>
      <w:r>
        <w:rPr>
          <w:rFonts w:cs="Times New Roman"/>
          <w:color w:val="000000" w:themeColor="text1"/>
          <w:szCs w:val="32"/>
        </w:rPr>
        <w:t>2次，直接经济损失200万元。</w:t>
      </w:r>
    </w:p>
    <w:p>
      <w:pPr>
        <w:ind w:firstLine="640"/>
        <w:rPr>
          <w:rFonts w:cs="Times New Roman"/>
          <w:color w:val="000000" w:themeColor="text1"/>
        </w:rPr>
      </w:pPr>
      <w:r>
        <w:rPr>
          <w:rFonts w:cs="Times New Roman"/>
          <w:color w:val="000000" w:themeColor="text1"/>
          <w:szCs w:val="32"/>
        </w:rPr>
        <w:t>地质灾害：</w:t>
      </w:r>
      <w:r>
        <w:rPr>
          <w:rFonts w:cs="Times New Roman"/>
          <w:color w:val="000000" w:themeColor="text1"/>
        </w:rPr>
        <w:t>片区地形主要为丘陵地貌，</w:t>
      </w:r>
      <w:r>
        <w:rPr>
          <w:rFonts w:cs="Times New Roman"/>
          <w:color w:val="000000" w:themeColor="text1"/>
          <w:szCs w:val="32"/>
        </w:rPr>
        <w:t>片区</w:t>
      </w:r>
      <w:r>
        <w:rPr>
          <w:rFonts w:cs="Times New Roman"/>
          <w:color w:val="000000" w:themeColor="text1"/>
        </w:rPr>
        <w:t>属浅丘地貌，“十三五”期间完成3处地质灾害整治工程，抗震设防烈度为Ⅵ度，地质灾害隐患点44处，其中崩塌42处，滑坡2处。日前地质灾害隐患点自动监测站6处，其余为人工监测。</w:t>
      </w:r>
    </w:p>
    <w:p>
      <w:pPr>
        <w:ind w:firstLine="640"/>
        <w:rPr>
          <w:rFonts w:cs="Times New Roman"/>
          <w:color w:val="000000" w:themeColor="text1"/>
        </w:rPr>
      </w:pPr>
      <w:r>
        <w:rPr>
          <w:rFonts w:cs="Times New Roman"/>
          <w:color w:val="000000" w:themeColor="text1"/>
        </w:rPr>
        <w:t>森林火灾。片区属于森林防火低风险区，片区以人工林为主，面积约为95</w:t>
      </w:r>
      <w:r>
        <w:rPr>
          <w:rFonts w:hint="eastAsia" w:cs="Times New Roman"/>
          <w:color w:val="000000" w:themeColor="text1"/>
        </w:rPr>
        <w:t>平方公里</w:t>
      </w:r>
      <w:r>
        <w:rPr>
          <w:rFonts w:cs="Times New Roman"/>
          <w:color w:val="000000" w:themeColor="text1"/>
        </w:rPr>
        <w:t>。片区森林覆盖率约为26%。</w:t>
      </w:r>
      <w:r>
        <w:rPr>
          <w:rFonts w:cs="Times New Roman"/>
          <w:color w:val="000000" w:themeColor="text1"/>
          <w:szCs w:val="32"/>
        </w:rPr>
        <w:t>2016-2021年片区</w:t>
      </w:r>
      <w:r>
        <w:rPr>
          <w:rFonts w:hint="eastAsia" w:cs="Times New Roman"/>
          <w:color w:val="000000" w:themeColor="text1"/>
          <w:szCs w:val="32"/>
        </w:rPr>
        <w:t>未</w:t>
      </w:r>
      <w:r>
        <w:rPr>
          <w:rFonts w:cs="Times New Roman"/>
          <w:color w:val="000000" w:themeColor="text1"/>
          <w:szCs w:val="32"/>
        </w:rPr>
        <w:t>发生森林火灾。</w:t>
      </w:r>
    </w:p>
    <w:p>
      <w:pPr>
        <w:ind w:firstLine="640"/>
        <w:rPr>
          <w:rFonts w:cs="Times New Roman"/>
          <w:color w:val="000000" w:themeColor="text1"/>
        </w:rPr>
      </w:pPr>
      <w:r>
        <w:rPr>
          <w:rFonts w:cs="Times New Roman"/>
          <w:color w:val="000000" w:themeColor="text1"/>
        </w:rPr>
        <w:t>地震灾害</w:t>
      </w:r>
      <w:bookmarkStart w:id="22" w:name="_Hlk105958668"/>
      <w:r>
        <w:rPr>
          <w:rFonts w:cs="Times New Roman"/>
          <w:color w:val="000000" w:themeColor="text1"/>
        </w:rPr>
        <w:t>：片区根据《中国地震动参数区划图》(GB18306-20015)，片区位于地震动峰值加速度0.05g分区、反应谱特征周期0.35s分区，片区地层平缓，无断裂带，抗震设防烈度为Ⅵ度</w:t>
      </w:r>
      <w:bookmarkEnd w:id="22"/>
      <w:r>
        <w:rPr>
          <w:rFonts w:cs="Times New Roman"/>
          <w:color w:val="000000" w:themeColor="text1"/>
        </w:rPr>
        <w:t>。片区1978年以来无3级以上地震数据记录。</w:t>
      </w:r>
    </w:p>
    <w:p>
      <w:pPr>
        <w:ind w:firstLine="640"/>
        <w:rPr>
          <w:rFonts w:cs="Times New Roman"/>
          <w:color w:val="000000" w:themeColor="text1"/>
        </w:rPr>
      </w:pPr>
      <w:r>
        <w:rPr>
          <w:rFonts w:cs="Times New Roman"/>
          <w:color w:val="000000" w:themeColor="text1"/>
        </w:rPr>
        <w:t>应急能力情况。</w:t>
      </w:r>
      <w:r>
        <w:rPr>
          <w:rFonts w:cs="Times New Roman"/>
          <w:color w:val="000000" w:themeColor="text1"/>
          <w:szCs w:val="32"/>
        </w:rPr>
        <w:t>应急指挥</w:t>
      </w:r>
      <w:r>
        <w:rPr>
          <w:rFonts w:cs="Times New Roman"/>
          <w:b/>
          <w:bCs/>
          <w:color w:val="000000" w:themeColor="text1"/>
          <w:szCs w:val="32"/>
        </w:rPr>
        <w:t>：</w:t>
      </w:r>
      <w:r>
        <w:rPr>
          <w:rFonts w:cs="Times New Roman"/>
          <w:color w:val="000000" w:themeColor="text1"/>
          <w:szCs w:val="32"/>
        </w:rPr>
        <w:t>片区内乡镇依据（安委编办发</w:t>
      </w:r>
      <w:r>
        <w:rPr>
          <w:rFonts w:cs="Times New Roman"/>
          <w:color w:val="000000" w:themeColor="text1"/>
        </w:rPr>
        <w:t>〔2022〕18号）</w:t>
      </w:r>
      <w:r>
        <w:rPr>
          <w:rFonts w:cs="Times New Roman"/>
          <w:color w:val="000000" w:themeColor="text1"/>
          <w:szCs w:val="32"/>
        </w:rPr>
        <w:t>《关于进一步加强乡镇应急管理体系建设有关事项的通知》成立由乡镇党政领导任组长的应急管理委员会，办公室设在乡镇应急办，兼职</w:t>
      </w:r>
      <w:r>
        <w:rPr>
          <w:rFonts w:cs="Times New Roman"/>
          <w:color w:val="000000" w:themeColor="text1"/>
        </w:rPr>
        <w:t>应急管理人员共计1</w:t>
      </w:r>
      <w:r>
        <w:rPr>
          <w:rFonts w:hint="eastAsia" w:cs="Times New Roman"/>
          <w:color w:val="000000" w:themeColor="text1"/>
        </w:rPr>
        <w:t>3</w:t>
      </w:r>
      <w:r>
        <w:rPr>
          <w:rFonts w:cs="Times New Roman"/>
          <w:color w:val="000000" w:themeColor="text1"/>
        </w:rPr>
        <w:t>人。其中周礼镇3人、镇子镇2人、大平镇2人、南薰镇2人、千佛乡2人、拱桥乡</w:t>
      </w:r>
      <w:r>
        <w:rPr>
          <w:rFonts w:hint="eastAsia" w:cs="Times New Roman"/>
          <w:color w:val="000000" w:themeColor="text1"/>
        </w:rPr>
        <w:t>2</w:t>
      </w:r>
      <w:r>
        <w:rPr>
          <w:rFonts w:cs="Times New Roman"/>
          <w:color w:val="000000" w:themeColor="text1"/>
        </w:rPr>
        <w:t>人，</w:t>
      </w:r>
      <w:r>
        <w:rPr>
          <w:rFonts w:cs="Times New Roman"/>
          <w:color w:val="000000" w:themeColor="text1"/>
          <w:szCs w:val="32"/>
        </w:rPr>
        <w:t>承担本区域防汛、防地灾、防森林火灾、防地震、防有毒有害气体泄漏、防水上安全等工作指挥、调度、协调的职能职责</w:t>
      </w:r>
      <w:r>
        <w:rPr>
          <w:rFonts w:cs="Times New Roman"/>
          <w:color w:val="000000" w:themeColor="text1"/>
        </w:rPr>
        <w:t>。</w:t>
      </w:r>
    </w:p>
    <w:p>
      <w:pPr>
        <w:ind w:firstLine="640"/>
        <w:rPr>
          <w:rFonts w:cs="Times New Roman"/>
          <w:color w:val="000000" w:themeColor="text1"/>
          <w:szCs w:val="32"/>
        </w:rPr>
      </w:pPr>
      <w:r>
        <w:rPr>
          <w:rFonts w:cs="Times New Roman"/>
          <w:color w:val="000000" w:themeColor="text1"/>
          <w:szCs w:val="32"/>
        </w:rPr>
        <w:t>应急救援队伍</w:t>
      </w:r>
      <w:r>
        <w:rPr>
          <w:rFonts w:cs="Times New Roman"/>
          <w:b/>
          <w:bCs/>
          <w:color w:val="000000" w:themeColor="text1"/>
          <w:szCs w:val="32"/>
        </w:rPr>
        <w:t>：</w:t>
      </w:r>
      <w:r>
        <w:rPr>
          <w:rFonts w:cs="Times New Roman"/>
          <w:color w:val="000000" w:themeColor="text1"/>
          <w:szCs w:val="32"/>
        </w:rPr>
        <w:t>片区内已有</w:t>
      </w:r>
      <w:r>
        <w:rPr>
          <w:rFonts w:cs="Times New Roman"/>
          <w:color w:val="000000" w:themeColor="text1"/>
          <w:szCs w:val="32"/>
          <w:lang w:bidi="ar"/>
        </w:rPr>
        <w:t>镇子</w:t>
      </w:r>
      <w:r>
        <w:rPr>
          <w:rFonts w:hint="eastAsia" w:cs="Times New Roman"/>
          <w:color w:val="000000" w:themeColor="text1"/>
          <w:szCs w:val="32"/>
          <w:lang w:bidi="ar"/>
        </w:rPr>
        <w:t>政府专职</w:t>
      </w:r>
      <w:r>
        <w:rPr>
          <w:rFonts w:cs="Times New Roman"/>
          <w:color w:val="000000" w:themeColor="text1"/>
          <w:szCs w:val="32"/>
          <w:lang w:bidi="ar"/>
        </w:rPr>
        <w:t>消防救援站</w:t>
      </w:r>
      <w:r>
        <w:rPr>
          <w:rFonts w:cs="Times New Roman"/>
          <w:color w:val="000000" w:themeColor="text1"/>
          <w:szCs w:val="32"/>
        </w:rPr>
        <w:t>专职消防队为主，乡镇应急队、村（社区）应急分队为辅的“一主两辅”队伍</w:t>
      </w:r>
      <w:bookmarkStart w:id="23" w:name="_Hlk130113758"/>
      <w:r>
        <w:rPr>
          <w:rFonts w:cs="Times New Roman"/>
          <w:color w:val="000000" w:themeColor="text1"/>
          <w:szCs w:val="32"/>
        </w:rPr>
        <w:t>。</w:t>
      </w:r>
      <w:r>
        <w:rPr>
          <w:rFonts w:cs="Times New Roman"/>
          <w:color w:val="000000" w:themeColor="text1"/>
          <w:szCs w:val="32"/>
          <w:lang w:bidi="ar"/>
        </w:rPr>
        <w:t>镇子</w:t>
      </w:r>
      <w:r>
        <w:rPr>
          <w:rFonts w:hint="eastAsia" w:cs="Times New Roman"/>
          <w:color w:val="000000" w:themeColor="text1"/>
          <w:szCs w:val="32"/>
          <w:lang w:bidi="ar"/>
        </w:rPr>
        <w:t>政府专职</w:t>
      </w:r>
      <w:r>
        <w:rPr>
          <w:rFonts w:cs="Times New Roman"/>
          <w:color w:val="000000" w:themeColor="text1"/>
          <w:szCs w:val="32"/>
          <w:lang w:bidi="ar"/>
        </w:rPr>
        <w:t>消防救援站</w:t>
      </w:r>
      <w:bookmarkEnd w:id="23"/>
      <w:r>
        <w:rPr>
          <w:rFonts w:cs="Times New Roman"/>
          <w:color w:val="000000" w:themeColor="text1"/>
          <w:szCs w:val="32"/>
        </w:rPr>
        <w:t>现有专职消防员16人</w:t>
      </w:r>
      <w:r>
        <w:rPr>
          <w:rFonts w:cs="Times New Roman"/>
          <w:color w:val="000000" w:themeColor="text1"/>
          <w:szCs w:val="32"/>
          <w:lang w:bidi="ar"/>
        </w:rPr>
        <w:t>，</w:t>
      </w:r>
      <w:r>
        <w:rPr>
          <w:rFonts w:cs="Times New Roman"/>
          <w:color w:val="000000" w:themeColor="text1"/>
          <w:szCs w:val="32"/>
        </w:rPr>
        <w:t>同时，</w:t>
      </w:r>
      <w:r>
        <w:rPr>
          <w:rFonts w:hint="eastAsia" w:cs="Times New Roman"/>
          <w:color w:val="000000" w:themeColor="text1"/>
          <w:szCs w:val="32"/>
        </w:rPr>
        <w:t>在</w:t>
      </w:r>
      <w:r>
        <w:rPr>
          <w:rFonts w:cs="Times New Roman"/>
          <w:color w:val="000000" w:themeColor="text1"/>
        </w:rPr>
        <w:t>通贤镇的安岳油气处理厂蜀南气矿消防大队安岳执勤点企业专职消防员17人，天然气净化总厂安岳执勤点企业专职消防队14人，</w:t>
      </w:r>
      <w:r>
        <w:rPr>
          <w:rFonts w:hint="eastAsia" w:cs="Times New Roman"/>
          <w:color w:val="000000" w:themeColor="text1"/>
        </w:rPr>
        <w:t>在油气安全事故</w:t>
      </w:r>
      <w:r>
        <w:rPr>
          <w:rFonts w:cs="Times New Roman"/>
          <w:color w:val="000000" w:themeColor="text1"/>
        </w:rPr>
        <w:t>救援</w:t>
      </w:r>
      <w:r>
        <w:rPr>
          <w:rFonts w:hint="eastAsia" w:cs="Times New Roman"/>
          <w:color w:val="000000" w:themeColor="text1"/>
        </w:rPr>
        <w:t>过程中，</w:t>
      </w:r>
      <w:r>
        <w:rPr>
          <w:rFonts w:cs="Times New Roman"/>
          <w:color w:val="000000" w:themeColor="text1"/>
        </w:rPr>
        <w:t>可与本片区的应急救援力量形成互补</w:t>
      </w:r>
      <w:r>
        <w:rPr>
          <w:rFonts w:cs="Times New Roman"/>
          <w:color w:val="000000" w:themeColor="text1"/>
          <w:szCs w:val="32"/>
        </w:rPr>
        <w:t>。</w:t>
      </w:r>
      <w:r>
        <w:rPr>
          <w:rFonts w:cs="Times New Roman"/>
          <w:color w:val="000000" w:themeColor="text1"/>
        </w:rPr>
        <w:t>乡镇非专业应急队6支211人，应急分队82支897人，分</w:t>
      </w:r>
      <w:r>
        <w:rPr>
          <w:rFonts w:cs="Times New Roman"/>
          <w:color w:val="000000" w:themeColor="text1"/>
          <w:szCs w:val="32"/>
        </w:rPr>
        <w:t>别为</w:t>
      </w:r>
      <w:r>
        <w:rPr>
          <w:rFonts w:cs="Times New Roman"/>
          <w:color w:val="000000" w:themeColor="text1"/>
        </w:rPr>
        <w:t>周礼镇45人、镇子镇30人、大平镇36人、南薰镇30人、千佛乡42人、拱桥乡28人。村（社区）应急分队分别为周礼镇21支325人、镇子镇15支150人、大平镇15支150人，南薰镇11支110人、千佛乡10支102人、拱桥乡6支60人，初步形成了县域“半小时”和乡镇 “1小时”应急救援响应圈。</w:t>
      </w:r>
    </w:p>
    <w:p>
      <w:pPr>
        <w:ind w:firstLine="640"/>
        <w:rPr>
          <w:rFonts w:cs="Times New Roman"/>
          <w:color w:val="000000" w:themeColor="text1"/>
          <w:szCs w:val="32"/>
          <w:lang w:bidi="ar"/>
        </w:rPr>
      </w:pPr>
      <w:r>
        <w:rPr>
          <w:rFonts w:cs="Times New Roman"/>
          <w:color w:val="000000" w:themeColor="text1"/>
          <w:szCs w:val="32"/>
        </w:rPr>
        <w:t>救援基地：</w:t>
      </w:r>
      <w:r>
        <w:rPr>
          <w:rFonts w:cs="Times New Roman"/>
          <w:color w:val="000000" w:themeColor="text1"/>
        </w:rPr>
        <w:t>片区目前在</w:t>
      </w:r>
      <w:r>
        <w:rPr>
          <w:rFonts w:hint="eastAsia" w:cs="Times New Roman"/>
          <w:color w:val="000000" w:themeColor="text1"/>
        </w:rPr>
        <w:t>镇子镇</w:t>
      </w:r>
      <w:r>
        <w:rPr>
          <w:rFonts w:cs="Times New Roman"/>
          <w:color w:val="000000" w:themeColor="text1"/>
        </w:rPr>
        <w:t>建</w:t>
      </w:r>
      <w:r>
        <w:rPr>
          <w:rFonts w:hint="eastAsia" w:cs="Times New Roman"/>
          <w:color w:val="000000" w:themeColor="text1"/>
        </w:rPr>
        <w:t>有</w:t>
      </w:r>
      <w:r>
        <w:rPr>
          <w:rFonts w:cs="Times New Roman"/>
          <w:color w:val="000000" w:themeColor="text1"/>
        </w:rPr>
        <w:t>救援</w:t>
      </w:r>
      <w:r>
        <w:rPr>
          <w:rFonts w:cs="Times New Roman"/>
          <w:color w:val="000000" w:themeColor="text1"/>
          <w:szCs w:val="32"/>
        </w:rPr>
        <w:t>基地</w:t>
      </w:r>
      <w:r>
        <w:rPr>
          <w:rFonts w:cs="Times New Roman"/>
          <w:color w:val="000000" w:themeColor="text1"/>
        </w:rPr>
        <w:t>1个，但均不具备专业救援基地功能。其它乡镇应急救援基地主要依托于乡镇政府、村（社区）办公室</w:t>
      </w:r>
      <w:r>
        <w:rPr>
          <w:rFonts w:cs="Times New Roman"/>
          <w:color w:val="000000" w:themeColor="text1"/>
          <w:szCs w:val="32"/>
          <w:lang w:bidi="ar"/>
        </w:rPr>
        <w:t>。主要存放小件</w:t>
      </w:r>
      <w:r>
        <w:rPr>
          <w:rFonts w:cs="Times New Roman"/>
          <w:color w:val="000000" w:themeColor="text1"/>
        </w:rPr>
        <w:t>救援物资。</w:t>
      </w:r>
    </w:p>
    <w:p>
      <w:pPr>
        <w:ind w:firstLine="640"/>
        <w:rPr>
          <w:rFonts w:cs="Times New Roman"/>
          <w:color w:val="000000" w:themeColor="text1"/>
          <w:szCs w:val="32"/>
        </w:rPr>
      </w:pPr>
      <w:r>
        <w:rPr>
          <w:rFonts w:cs="Times New Roman"/>
          <w:color w:val="000000" w:themeColor="text1"/>
          <w:szCs w:val="32"/>
        </w:rPr>
        <w:t>救援装备：</w:t>
      </w:r>
      <w:r>
        <w:rPr>
          <w:rFonts w:cs="Times New Roman"/>
          <w:color w:val="000000" w:themeColor="text1"/>
          <w:szCs w:val="32"/>
          <w:lang w:bidi="ar"/>
        </w:rPr>
        <w:t>镇子消防救援站</w:t>
      </w:r>
      <w:r>
        <w:rPr>
          <w:rFonts w:cs="Times New Roman"/>
          <w:color w:val="000000" w:themeColor="text1"/>
        </w:rPr>
        <w:t>消防车2台、抢险救援器材54件套、防护装备126件套、通信装备8件套。</w:t>
      </w:r>
      <w:bookmarkStart w:id="24" w:name="_Hlk121043553"/>
      <w:r>
        <w:rPr>
          <w:rFonts w:cs="Times New Roman"/>
          <w:color w:val="000000" w:themeColor="text1"/>
        </w:rPr>
        <w:t>安岳气田配备的消防车4台、抢险救援器材51件套。</w:t>
      </w:r>
    </w:p>
    <w:bookmarkEnd w:id="24"/>
    <w:p>
      <w:pPr>
        <w:ind w:firstLine="640"/>
        <w:rPr>
          <w:rFonts w:cs="Times New Roman"/>
          <w:color w:val="000000" w:themeColor="text1"/>
        </w:rPr>
      </w:pPr>
      <w:r>
        <w:rPr>
          <w:rFonts w:cs="Times New Roman"/>
          <w:color w:val="000000" w:themeColor="text1"/>
          <w:szCs w:val="32"/>
        </w:rPr>
        <w:t>应急预案</w:t>
      </w:r>
      <w:r>
        <w:rPr>
          <w:rFonts w:cs="Times New Roman"/>
          <w:b/>
          <w:bCs/>
          <w:color w:val="000000" w:themeColor="text1"/>
          <w:szCs w:val="32"/>
        </w:rPr>
        <w:t>：</w:t>
      </w:r>
      <w:r>
        <w:rPr>
          <w:rFonts w:cs="Times New Roman"/>
          <w:color w:val="000000" w:themeColor="text1"/>
        </w:rPr>
        <w:t>片区内6个乡镇均编制有安全生产、地震、防汛等应急预案共计37个。其中：周礼镇编写7个、镇子镇编写6个、大平镇编写6个、南薰镇编写6个、千佛乡编写7个、拱桥乡编写5个。乡镇做了消防、防汛、地震演练。</w:t>
      </w:r>
    </w:p>
    <w:p>
      <w:pPr>
        <w:ind w:firstLine="640"/>
        <w:rPr>
          <w:rFonts w:cs="Times New Roman"/>
          <w:color w:val="000000" w:themeColor="text1"/>
        </w:rPr>
      </w:pPr>
      <w:r>
        <w:rPr>
          <w:rFonts w:cs="Times New Roman"/>
          <w:color w:val="000000" w:themeColor="text1"/>
          <w:szCs w:val="32"/>
        </w:rPr>
        <w:t>应急避难场所</w:t>
      </w:r>
      <w:r>
        <w:rPr>
          <w:rFonts w:cs="Times New Roman"/>
          <w:b/>
          <w:bCs/>
          <w:color w:val="000000" w:themeColor="text1"/>
          <w:szCs w:val="32"/>
        </w:rPr>
        <w:t>：</w:t>
      </w:r>
      <w:r>
        <w:rPr>
          <w:rFonts w:cs="Times New Roman"/>
          <w:color w:val="000000" w:themeColor="text1"/>
        </w:rPr>
        <w:t>片区内暂无固定应急避难场所，均为临时避难场所。片区内有临时避难场所3</w:t>
      </w:r>
      <w:r>
        <w:rPr>
          <w:rFonts w:hint="eastAsia" w:cs="Times New Roman"/>
          <w:color w:val="000000" w:themeColor="text1"/>
        </w:rPr>
        <w:t>8</w:t>
      </w:r>
      <w:r>
        <w:rPr>
          <w:rFonts w:cs="Times New Roman"/>
          <w:color w:val="000000" w:themeColor="text1"/>
        </w:rPr>
        <w:t>处，总面积</w:t>
      </w:r>
      <w:r>
        <w:rPr>
          <w:rFonts w:hint="eastAsia" w:cs="Times New Roman"/>
          <w:color w:val="000000" w:themeColor="text1"/>
        </w:rPr>
        <w:t>45</w:t>
      </w:r>
      <w:r>
        <w:rPr>
          <w:rFonts w:cs="Times New Roman"/>
          <w:color w:val="000000" w:themeColor="text1"/>
        </w:rPr>
        <w:t>,</w:t>
      </w:r>
      <w:r>
        <w:rPr>
          <w:rFonts w:hint="eastAsia" w:cs="Times New Roman"/>
          <w:color w:val="000000" w:themeColor="text1"/>
        </w:rPr>
        <w:t>472</w:t>
      </w:r>
      <w:r>
        <w:rPr>
          <w:rFonts w:cs="Times New Roman"/>
          <w:color w:val="000000" w:themeColor="text1"/>
        </w:rPr>
        <w:t>.13㎡，总容纳人数约29,394人。</w:t>
      </w:r>
    </w:p>
    <w:p>
      <w:pPr>
        <w:ind w:firstLine="640"/>
        <w:rPr>
          <w:rFonts w:cs="Times New Roman"/>
          <w:color w:val="000000" w:themeColor="text1"/>
        </w:rPr>
      </w:pPr>
      <w:r>
        <w:rPr>
          <w:rFonts w:cs="Times New Roman"/>
          <w:color w:val="000000" w:themeColor="text1"/>
          <w:szCs w:val="32"/>
        </w:rPr>
        <w:t>应急物资储备</w:t>
      </w:r>
      <w:r>
        <w:rPr>
          <w:rFonts w:cs="Times New Roman"/>
          <w:b/>
          <w:bCs/>
          <w:color w:val="000000" w:themeColor="text1"/>
          <w:szCs w:val="32"/>
        </w:rPr>
        <w:t>：</w:t>
      </w:r>
      <w:r>
        <w:rPr>
          <w:rFonts w:cs="Times New Roman"/>
          <w:color w:val="000000" w:themeColor="text1"/>
        </w:rPr>
        <w:t>片区主要依托于镇子应急物资储备库和各乡镇政府和村（社区）库房，各乡镇都有应急物资储备库共计36个。存放有森防背包、风力灭火机、割草机、汽油链锯、报警器、强光电筒、消防服、救生衣、水枪、防洪编织袋、双层灭火毯、消防靴、消防锹、砍刀、折叠床、棉被、睡袋、帐篷、棉大衣等应急物资。</w:t>
      </w:r>
      <w:bookmarkStart w:id="25" w:name="_Toc98773627"/>
      <w:r>
        <w:rPr>
          <w:rFonts w:cs="Times New Roman"/>
          <w:color w:val="000000" w:themeColor="text1"/>
        </w:rPr>
        <w:t>总计4914件（套）。</w:t>
      </w:r>
    </w:p>
    <w:p>
      <w:pPr>
        <w:ind w:firstLine="640"/>
        <w:rPr>
          <w:rFonts w:cs="Times New Roman"/>
          <w:color w:val="000000" w:themeColor="text1"/>
          <w:szCs w:val="32"/>
        </w:rPr>
      </w:pPr>
      <w:r>
        <w:rPr>
          <w:rFonts w:cs="Times New Roman"/>
          <w:color w:val="000000" w:themeColor="text1"/>
          <w:szCs w:val="32"/>
        </w:rPr>
        <w:t>应急指挥信息化建设</w:t>
      </w:r>
      <w:r>
        <w:rPr>
          <w:rFonts w:cs="Times New Roman"/>
          <w:b/>
          <w:bCs/>
          <w:color w:val="000000" w:themeColor="text1"/>
          <w:szCs w:val="32"/>
        </w:rPr>
        <w:t>：</w:t>
      </w:r>
      <w:r>
        <w:rPr>
          <w:rFonts w:cs="Times New Roman"/>
          <w:color w:val="000000" w:themeColor="text1"/>
          <w:szCs w:val="32"/>
        </w:rPr>
        <w:t>片区乡镇配备了卫星电话6部，可实现公网中断条件灾情反馈、指令下达。片区各乡镇、村通过运用手机、微信群、广播村村响系统等搭建信息化网络。</w:t>
      </w:r>
    </w:p>
    <w:p>
      <w:pPr>
        <w:ind w:firstLine="640"/>
        <w:rPr>
          <w:rFonts w:cs="Times New Roman"/>
          <w:color w:val="000000" w:themeColor="text1"/>
          <w:szCs w:val="32"/>
        </w:rPr>
      </w:pPr>
      <w:r>
        <w:rPr>
          <w:rFonts w:cs="Times New Roman"/>
          <w:color w:val="000000" w:themeColor="text1"/>
          <w:szCs w:val="32"/>
        </w:rPr>
        <w:t>应急宣传</w:t>
      </w:r>
      <w:r>
        <w:rPr>
          <w:rFonts w:cs="Times New Roman"/>
          <w:b/>
          <w:bCs/>
          <w:color w:val="000000" w:themeColor="text1"/>
          <w:szCs w:val="32"/>
        </w:rPr>
        <w:t>：</w:t>
      </w:r>
      <w:r>
        <w:rPr>
          <w:rFonts w:cs="Times New Roman"/>
          <w:color w:val="000000" w:themeColor="text1"/>
          <w:szCs w:val="32"/>
        </w:rPr>
        <w:t>片区各乡镇利用电视、广播、防灾减灾日、安全生产月、消防月、交通安全月等形式，开展了消防、安全生产、森林火灾、防震减灾、交通安全等宣传活动。各乡镇利用“五进”活动，开展企业、农村、社区、校园、家庭安全知识宣传培训。片区建有1个安全社区。</w:t>
      </w:r>
    </w:p>
    <w:bookmarkEnd w:id="21"/>
    <w:p>
      <w:pPr>
        <w:pStyle w:val="4"/>
        <w:rPr>
          <w:rFonts w:cs="Times New Roman"/>
          <w:color w:val="000000" w:themeColor="text1"/>
        </w:rPr>
      </w:pPr>
      <w:bookmarkStart w:id="26" w:name="_Toc28582"/>
      <w:r>
        <w:rPr>
          <w:rFonts w:cs="Times New Roman"/>
          <w:color w:val="000000" w:themeColor="text1"/>
        </w:rPr>
        <w:t>第二节 面临问题</w:t>
      </w:r>
      <w:bookmarkEnd w:id="26"/>
    </w:p>
    <w:p>
      <w:pPr>
        <w:ind w:firstLine="640"/>
        <w:rPr>
          <w:rFonts w:cs="Times New Roman"/>
          <w:color w:val="000000" w:themeColor="text1"/>
          <w:szCs w:val="32"/>
        </w:rPr>
      </w:pPr>
      <w:bookmarkStart w:id="27" w:name="_Hlk104234549"/>
      <w:bookmarkStart w:id="28" w:name="_Hlk121042925"/>
      <w:r>
        <w:rPr>
          <w:rFonts w:cs="Times New Roman"/>
          <w:color w:val="000000" w:themeColor="text1"/>
          <w:szCs w:val="32"/>
        </w:rPr>
        <w:t>安全生产方面</w:t>
      </w:r>
      <w:bookmarkEnd w:id="27"/>
      <w:r>
        <w:rPr>
          <w:rFonts w:cs="Times New Roman"/>
          <w:color w:val="000000" w:themeColor="text1"/>
          <w:szCs w:val="32"/>
        </w:rPr>
        <w:t>。片区内含硫天然气生产井以及各类特种设备逐年增加，</w:t>
      </w:r>
      <w:r>
        <w:rPr>
          <w:rFonts w:hint="eastAsia" w:cs="Times New Roman"/>
          <w:color w:val="000000" w:themeColor="text1"/>
          <w:szCs w:val="32"/>
        </w:rPr>
        <w:t>正在实施的</w:t>
      </w:r>
      <w:r>
        <w:t>安岳县周礼薯业产业园</w:t>
      </w:r>
      <w:r>
        <w:rPr>
          <w:rFonts w:hint="eastAsia" w:cs="Times New Roman"/>
          <w:color w:val="000000" w:themeColor="text1"/>
          <w:szCs w:val="32"/>
        </w:rPr>
        <w:t>，</w:t>
      </w:r>
      <w:r>
        <w:rPr>
          <w:rFonts w:cs="Times New Roman"/>
          <w:color w:val="000000" w:themeColor="text1"/>
          <w:szCs w:val="32"/>
        </w:rPr>
        <w:t>主要风险是以含硫天然气管道、</w:t>
      </w:r>
      <w:r>
        <w:rPr>
          <w:rFonts w:hint="eastAsia" w:cs="Times New Roman"/>
          <w:color w:val="000000" w:themeColor="text1"/>
          <w:szCs w:val="32"/>
        </w:rPr>
        <w:t>特种设备</w:t>
      </w:r>
      <w:r>
        <w:rPr>
          <w:rFonts w:cs="Times New Roman"/>
          <w:color w:val="000000" w:themeColor="text1"/>
          <w:szCs w:val="32"/>
        </w:rPr>
        <w:t>使用</w:t>
      </w:r>
      <w:r>
        <w:rPr>
          <w:rFonts w:hint="eastAsia" w:cs="Times New Roman"/>
          <w:color w:val="000000" w:themeColor="text1"/>
          <w:szCs w:val="32"/>
        </w:rPr>
        <w:t>、有限空间作业</w:t>
      </w:r>
      <w:r>
        <w:rPr>
          <w:rFonts w:cs="Times New Roman"/>
          <w:color w:val="000000" w:themeColor="text1"/>
          <w:szCs w:val="32"/>
        </w:rPr>
        <w:t>为主。主要安全生产风险有机械伤害、高处坠落、物体打击、火灾、爆炸、中毒</w:t>
      </w:r>
      <w:r>
        <w:rPr>
          <w:rFonts w:hint="eastAsia" w:cs="Times New Roman"/>
          <w:color w:val="000000" w:themeColor="text1"/>
          <w:szCs w:val="32"/>
        </w:rPr>
        <w:t>、</w:t>
      </w:r>
      <w:r>
        <w:rPr>
          <w:rFonts w:cs="Times New Roman"/>
          <w:color w:val="000000" w:themeColor="text1"/>
          <w:szCs w:val="32"/>
        </w:rPr>
        <w:t>窒息</w:t>
      </w:r>
      <w:r>
        <w:rPr>
          <w:rFonts w:hint="eastAsia" w:cs="Times New Roman"/>
          <w:color w:val="000000" w:themeColor="text1"/>
          <w:szCs w:val="32"/>
        </w:rPr>
        <w:t>、</w:t>
      </w:r>
      <w:r>
        <w:rPr>
          <w:rFonts w:hint="eastAsia" w:cs="Times New Roman"/>
          <w:color w:val="000000" w:themeColor="text1"/>
        </w:rPr>
        <w:t>触电等。</w:t>
      </w:r>
    </w:p>
    <w:bookmarkEnd w:id="28"/>
    <w:p>
      <w:pPr>
        <w:ind w:firstLine="640"/>
        <w:rPr>
          <w:rFonts w:cs="Times New Roman"/>
          <w:color w:val="000000" w:themeColor="text1"/>
        </w:rPr>
      </w:pPr>
      <w:r>
        <w:rPr>
          <w:rFonts w:cs="Times New Roman"/>
          <w:color w:val="000000" w:themeColor="text1"/>
          <w:szCs w:val="32"/>
        </w:rPr>
        <w:t>片区内</w:t>
      </w:r>
      <w:r>
        <w:rPr>
          <w:rFonts w:cs="Times New Roman"/>
          <w:color w:val="000000" w:themeColor="text1"/>
        </w:rPr>
        <w:t>发生安全生产事故的主要原因，是</w:t>
      </w:r>
      <w:r>
        <w:rPr>
          <w:rFonts w:cs="Times New Roman"/>
          <w:color w:val="000000" w:themeColor="text1"/>
          <w:szCs w:val="32"/>
        </w:rPr>
        <w:t>部分企业未严格落实企业主体责任，未全面建立安全生产责任清单制管理，规章制度建立不完善，风险辨识不全面，隐患排查治理不到位，安全培训教育质量不高，一线员工安全生产意识淡薄，</w:t>
      </w:r>
      <w:bookmarkStart w:id="29" w:name="_Hlk104242650"/>
      <w:r>
        <w:rPr>
          <w:rFonts w:cs="Times New Roman"/>
          <w:color w:val="000000" w:themeColor="text1"/>
          <w:szCs w:val="32"/>
        </w:rPr>
        <w:t>未严格执行安全操作规程等</w:t>
      </w:r>
      <w:bookmarkEnd w:id="29"/>
      <w:r>
        <w:rPr>
          <w:rFonts w:cs="Times New Roman"/>
          <w:color w:val="000000" w:themeColor="text1"/>
        </w:rPr>
        <w:t>。</w:t>
      </w:r>
    </w:p>
    <w:p>
      <w:pPr>
        <w:ind w:firstLine="640"/>
        <w:rPr>
          <w:rFonts w:cs="Times New Roman"/>
          <w:color w:val="000000" w:themeColor="text1"/>
        </w:rPr>
      </w:pPr>
      <w:r>
        <w:rPr>
          <w:rFonts w:cs="Times New Roman"/>
          <w:color w:val="000000" w:themeColor="text1"/>
        </w:rPr>
        <w:t>片区内道路交通方面存在超速、超载、闯红灯等现象，也是造成亡人事故的主要原因。</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片区内建筑施工方面存在从业人员安全意识淡薄，老旧危房整改不彻底，居民自建房无消防设施等问题。</w:t>
      </w:r>
    </w:p>
    <w:p>
      <w:pPr>
        <w:ind w:firstLine="640"/>
        <w:rPr>
          <w:rFonts w:cs="Times New Roman"/>
          <w:color w:val="000000" w:themeColor="text1"/>
        </w:rPr>
      </w:pPr>
      <w:r>
        <w:rPr>
          <w:rFonts w:cs="Times New Roman"/>
          <w:color w:val="000000" w:themeColor="text1"/>
        </w:rPr>
        <w:t>自然灾害方面。洪涝灾害</w:t>
      </w:r>
      <w:r>
        <w:rPr>
          <w:rFonts w:cs="Times New Roman"/>
          <w:b/>
          <w:bCs/>
          <w:color w:val="000000" w:themeColor="text1"/>
        </w:rPr>
        <w:t>：</w:t>
      </w:r>
      <w:r>
        <w:rPr>
          <w:rFonts w:cs="Times New Roman"/>
          <w:color w:val="000000" w:themeColor="text1"/>
        </w:rPr>
        <w:t>片区内地形以丘陵为主，洪涝灾害为主要灾害，在本片区以种植业为主导产业的背景下，</w:t>
      </w:r>
      <w:r>
        <w:rPr>
          <w:rFonts w:cs="Times New Roman"/>
          <w:color w:val="000000" w:themeColor="text1"/>
          <w:szCs w:val="32"/>
        </w:rPr>
        <w:t>现片区堤防防洪标准偏低，均为10年一遇防洪标准，达不到规范要求的20年一遇防洪标准。片区自动雨量站点和自动水位站点信息没有与</w:t>
      </w:r>
      <w:r>
        <w:rPr>
          <w:rFonts w:cs="Times New Roman"/>
          <w:color w:val="000000" w:themeColor="text1"/>
        </w:rPr>
        <w:t>应急预警系统联网，群测群防体系尚不完善，科学高效的智能化控制及监控系统仍需提升。隐患点未得到彻底整治。</w:t>
      </w:r>
    </w:p>
    <w:p>
      <w:pPr>
        <w:ind w:firstLine="640"/>
        <w:rPr>
          <w:rFonts w:cs="Times New Roman"/>
          <w:color w:val="000000" w:themeColor="text1"/>
          <w:szCs w:val="32"/>
        </w:rPr>
      </w:pPr>
      <w:r>
        <w:rPr>
          <w:rFonts w:cs="Times New Roman"/>
          <w:color w:val="000000" w:themeColor="text1"/>
          <w:szCs w:val="32"/>
        </w:rPr>
        <w:t>地质灾害</w:t>
      </w:r>
      <w:r>
        <w:rPr>
          <w:rFonts w:cs="Times New Roman"/>
          <w:b/>
          <w:bCs/>
          <w:color w:val="000000" w:themeColor="text1"/>
          <w:szCs w:val="32"/>
        </w:rPr>
        <w:t>：</w:t>
      </w:r>
      <w:r>
        <w:rPr>
          <w:rFonts w:cs="Times New Roman"/>
          <w:color w:val="000000" w:themeColor="text1"/>
          <w:szCs w:val="32"/>
        </w:rPr>
        <w:t>片区内</w:t>
      </w:r>
      <w:r>
        <w:rPr>
          <w:rFonts w:cs="Times New Roman"/>
          <w:color w:val="000000" w:themeColor="text1"/>
        </w:rPr>
        <w:t>现有地质灾害隐患点44处，其中崩塌42处，滑坡2处</w:t>
      </w:r>
      <w:r>
        <w:rPr>
          <w:rFonts w:cs="Times New Roman"/>
          <w:color w:val="000000" w:themeColor="text1"/>
          <w:szCs w:val="32"/>
        </w:rPr>
        <w:t>，地质灾害防治任务重，工程整治率不高。</w:t>
      </w:r>
    </w:p>
    <w:p>
      <w:pPr>
        <w:ind w:firstLine="640"/>
        <w:rPr>
          <w:rFonts w:cs="Times New Roman"/>
          <w:color w:val="000000" w:themeColor="text1"/>
          <w:szCs w:val="28"/>
          <w:lang w:bidi="ar"/>
        </w:rPr>
      </w:pPr>
      <w:r>
        <w:rPr>
          <w:rFonts w:cs="Times New Roman"/>
          <w:color w:val="000000" w:themeColor="text1"/>
          <w:szCs w:val="32"/>
        </w:rPr>
        <w:t>森林火灾：片区内</w:t>
      </w:r>
      <w:r>
        <w:rPr>
          <w:rFonts w:cs="Times New Roman"/>
          <w:color w:val="000000" w:themeColor="text1"/>
        </w:rPr>
        <w:t>人工林为主，</w:t>
      </w:r>
      <w:r>
        <w:rPr>
          <w:rFonts w:cs="Times New Roman"/>
          <w:color w:val="000000" w:themeColor="text1"/>
          <w:szCs w:val="28"/>
          <w:lang w:bidi="ar"/>
        </w:rPr>
        <w:t>2016-2021年</w:t>
      </w:r>
      <w:r>
        <w:rPr>
          <w:rFonts w:hint="eastAsia" w:cs="Times New Roman"/>
          <w:color w:val="000000" w:themeColor="text1"/>
          <w:szCs w:val="28"/>
          <w:lang w:bidi="ar"/>
        </w:rPr>
        <w:t>未</w:t>
      </w:r>
      <w:r>
        <w:rPr>
          <w:rFonts w:cs="Times New Roman"/>
          <w:color w:val="000000" w:themeColor="text1"/>
          <w:szCs w:val="28"/>
          <w:lang w:bidi="ar"/>
        </w:rPr>
        <w:t>发生森林火灾。</w:t>
      </w:r>
      <w:r>
        <w:rPr>
          <w:rFonts w:cs="Times New Roman"/>
          <w:color w:val="000000" w:themeColor="text1"/>
        </w:rPr>
        <w:t>林区</w:t>
      </w:r>
      <w:r>
        <w:rPr>
          <w:rFonts w:hint="eastAsia" w:cs="Times New Roman"/>
          <w:color w:val="000000" w:themeColor="text1"/>
        </w:rPr>
        <w:t>存在</w:t>
      </w:r>
      <w:r>
        <w:rPr>
          <w:rFonts w:cs="Times New Roman"/>
          <w:color w:val="000000" w:themeColor="text1"/>
        </w:rPr>
        <w:t>因路网密集，人口密度大，</w:t>
      </w:r>
      <w:r>
        <w:rPr>
          <w:rFonts w:cs="Times New Roman"/>
          <w:color w:val="000000" w:themeColor="text1"/>
          <w:szCs w:val="32"/>
        </w:rPr>
        <w:t>火情监测预警能力薄弱，</w:t>
      </w:r>
      <w:r>
        <w:rPr>
          <w:rFonts w:cs="Times New Roman"/>
          <w:color w:val="000000" w:themeColor="text1"/>
        </w:rPr>
        <w:t>控制在林区人为用火比较困难</w:t>
      </w:r>
      <w:r>
        <w:rPr>
          <w:rFonts w:cs="Times New Roman"/>
          <w:color w:val="000000" w:themeColor="text1"/>
          <w:szCs w:val="32"/>
        </w:rPr>
        <w:t>，主要还是依靠传统的人工地面巡护模式</w:t>
      </w:r>
      <w:r>
        <w:rPr>
          <w:rFonts w:cs="Times New Roman"/>
          <w:color w:val="000000" w:themeColor="text1"/>
          <w:szCs w:val="28"/>
          <w:lang w:bidi="ar"/>
        </w:rPr>
        <w:t>。</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地震灾害：根据《中国地震动参数区划图》(GB18306-20015)，地震动峰值加速度0.05g分区、反应谱特征周期0.35s分区，规划抗震设防烈度为Ⅵ度，设计基本地震加速度值为0.15g，重要的生命线工程、重要设施、易发生次生灾害的设施应按照高于本地区地震设防烈度一度的标准设防。重大工程和可能发生次生灾害的工程，必须进行地震安全性评价，并根据地震安全性评价的结果，确定抗震设防要求，进行抗震设防。</w:t>
      </w:r>
    </w:p>
    <w:p>
      <w:pPr>
        <w:ind w:firstLine="640"/>
        <w:rPr>
          <w:rFonts w:cs="Times New Roman"/>
          <w:color w:val="000000" w:themeColor="text1"/>
        </w:rPr>
      </w:pPr>
      <w:r>
        <w:rPr>
          <w:rFonts w:cs="Times New Roman"/>
          <w:color w:val="000000" w:themeColor="text1"/>
        </w:rPr>
        <w:t>应急能力方面。</w:t>
      </w:r>
      <w:r>
        <w:rPr>
          <w:rFonts w:cs="Times New Roman"/>
          <w:bCs/>
          <w:color w:val="000000" w:themeColor="text1"/>
        </w:rPr>
        <w:t>应急救援机制</w:t>
      </w:r>
      <w:r>
        <w:rPr>
          <w:rFonts w:cs="Times New Roman"/>
          <w:b/>
          <w:color w:val="000000" w:themeColor="text1"/>
        </w:rPr>
        <w:t>：</w:t>
      </w:r>
      <w:bookmarkStart w:id="30" w:name="_Hlk105027137"/>
      <w:bookmarkStart w:id="31" w:name="_Hlk105027566"/>
      <w:r>
        <w:rPr>
          <w:rFonts w:cs="Times New Roman"/>
          <w:color w:val="000000" w:themeColor="text1"/>
        </w:rPr>
        <w:t>各乡镇应急救援机制不完善，统筹协调性不强，应急力量相对独立，</w:t>
      </w:r>
      <w:bookmarkEnd w:id="30"/>
      <w:r>
        <w:rPr>
          <w:rFonts w:cs="Times New Roman"/>
          <w:color w:val="000000" w:themeColor="text1"/>
        </w:rPr>
        <w:t>应急指挥信息化水平不高，未建立与应急指挥能力相适应的现代化应急指挥体系</w:t>
      </w:r>
      <w:bookmarkEnd w:id="31"/>
      <w:r>
        <w:rPr>
          <w:rFonts w:cs="Times New Roman"/>
          <w:color w:val="000000" w:themeColor="text1"/>
        </w:rPr>
        <w:t>。</w:t>
      </w:r>
    </w:p>
    <w:p>
      <w:pPr>
        <w:ind w:firstLine="640"/>
        <w:rPr>
          <w:rFonts w:cs="Times New Roman"/>
          <w:color w:val="000000" w:themeColor="text1"/>
          <w:szCs w:val="32"/>
          <w:lang w:bidi="ar"/>
        </w:rPr>
      </w:pPr>
      <w:r>
        <w:rPr>
          <w:rFonts w:hint="eastAsia" w:cs="Times New Roman"/>
          <w:bCs/>
          <w:color w:val="000000" w:themeColor="text1"/>
        </w:rPr>
        <w:t>救援基地：片区目前建有镇子镇非专业应急救援基地，其它乡镇依托镇子镇应急救援基地和原有各乡镇政府、村（社区）驻地作为应急救援临时场地。</w:t>
      </w:r>
    </w:p>
    <w:p>
      <w:pPr>
        <w:ind w:firstLine="640"/>
        <w:rPr>
          <w:rFonts w:cs="Times New Roman"/>
          <w:color w:val="000000" w:themeColor="text1"/>
        </w:rPr>
      </w:pPr>
      <w:r>
        <w:rPr>
          <w:rFonts w:cs="Times New Roman"/>
          <w:color w:val="000000" w:themeColor="text1"/>
        </w:rPr>
        <w:t>救援队伍：目前片区内</w:t>
      </w:r>
      <w:r>
        <w:rPr>
          <w:rFonts w:cs="Times New Roman"/>
          <w:color w:val="000000" w:themeColor="text1"/>
          <w:szCs w:val="32"/>
        </w:rPr>
        <w:t>现有</w:t>
      </w:r>
      <w:r>
        <w:rPr>
          <w:rFonts w:cs="Times New Roman"/>
          <w:color w:val="000000" w:themeColor="text1"/>
        </w:rPr>
        <w:t>专业消防力量，</w:t>
      </w:r>
      <w:r>
        <w:rPr>
          <w:rFonts w:cs="Times New Roman"/>
          <w:color w:val="000000" w:themeColor="text1"/>
          <w:szCs w:val="32"/>
          <w:lang w:bidi="ar"/>
        </w:rPr>
        <w:t>政府</w:t>
      </w:r>
      <w:r>
        <w:rPr>
          <w:rFonts w:cs="Times New Roman"/>
          <w:color w:val="000000" w:themeColor="text1"/>
          <w:szCs w:val="32"/>
        </w:rPr>
        <w:t>专职消防员16人</w:t>
      </w:r>
      <w:r>
        <w:rPr>
          <w:rFonts w:cs="Times New Roman"/>
          <w:color w:val="000000" w:themeColor="text1"/>
        </w:rPr>
        <w:t>，</w:t>
      </w:r>
      <w:bookmarkStart w:id="32" w:name="_Hlk121042231"/>
      <w:r>
        <w:rPr>
          <w:rFonts w:cs="Times New Roman"/>
          <w:color w:val="000000" w:themeColor="text1"/>
        </w:rPr>
        <w:t>另有企业专职消防员31人。</w:t>
      </w:r>
      <w:bookmarkEnd w:id="32"/>
      <w:r>
        <w:rPr>
          <w:rFonts w:cs="Times New Roman"/>
          <w:color w:val="000000" w:themeColor="text1"/>
        </w:rPr>
        <w:t>专业消防人员与常住人口配比率为0.42‰。消防救援队伍与片区内周礼镇、</w:t>
      </w:r>
      <w:r>
        <w:rPr>
          <w:rFonts w:hint="eastAsia" w:cs="Times New Roman"/>
          <w:color w:val="000000" w:themeColor="text1"/>
        </w:rPr>
        <w:t>镇子镇、</w:t>
      </w:r>
      <w:r>
        <w:rPr>
          <w:rFonts w:cs="Times New Roman"/>
          <w:color w:val="000000" w:themeColor="text1"/>
        </w:rPr>
        <w:t>南薰镇、</w:t>
      </w:r>
      <w:r>
        <w:rPr>
          <w:rFonts w:hint="eastAsia" w:cs="Times New Roman"/>
          <w:color w:val="000000" w:themeColor="text1"/>
        </w:rPr>
        <w:t>大平镇、</w:t>
      </w:r>
      <w:r>
        <w:rPr>
          <w:rFonts w:cs="Times New Roman"/>
          <w:color w:val="000000" w:themeColor="text1"/>
        </w:rPr>
        <w:t>千佛乡、拱桥乡应急队和村（社区）应急分队还未形成协调联动机制和队伍管理培训演练机制。</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bCs/>
          <w:color w:val="000000" w:themeColor="text1"/>
          <w:sz w:val="32"/>
          <w:szCs w:val="22"/>
        </w:rPr>
        <w:t>救援装备</w:t>
      </w:r>
      <w:r>
        <w:rPr>
          <w:rFonts w:ascii="Times New Roman" w:hAnsi="Times New Roman" w:eastAsia="仿宋" w:cs="Times New Roman"/>
          <w:b/>
          <w:color w:val="000000" w:themeColor="text1"/>
          <w:sz w:val="32"/>
          <w:szCs w:val="22"/>
        </w:rPr>
        <w:t>：</w:t>
      </w:r>
      <w:r>
        <w:rPr>
          <w:rFonts w:ascii="Times New Roman" w:hAnsi="Times New Roman" w:eastAsia="仿宋" w:cs="Times New Roman"/>
          <w:color w:val="000000" w:themeColor="text1"/>
          <w:sz w:val="32"/>
          <w:szCs w:val="22"/>
        </w:rPr>
        <w:t>专业救援装备仍有较大缺口，缺少专业救援装备，乡镇未按《乡镇消防队》（GB/T35547-2017）配备灭火类装备，抢险救援类装备和个人防护类装备。</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bCs/>
          <w:color w:val="000000" w:themeColor="text1"/>
          <w:sz w:val="32"/>
          <w:szCs w:val="22"/>
        </w:rPr>
        <w:t>应急预案：</w:t>
      </w:r>
      <w:bookmarkStart w:id="33" w:name="_Hlk105976556"/>
      <w:r>
        <w:rPr>
          <w:rFonts w:ascii="Times New Roman" w:hAnsi="Times New Roman" w:eastAsia="仿宋" w:cs="Times New Roman"/>
          <w:color w:val="000000" w:themeColor="text1"/>
          <w:sz w:val="32"/>
          <w:szCs w:val="22"/>
        </w:rPr>
        <w:t>片区</w:t>
      </w:r>
      <w:bookmarkEnd w:id="33"/>
      <w:r>
        <w:rPr>
          <w:rFonts w:ascii="Times New Roman" w:hAnsi="Times New Roman" w:eastAsia="仿宋" w:cs="Times New Roman"/>
          <w:color w:val="000000" w:themeColor="text1"/>
          <w:sz w:val="32"/>
          <w:szCs w:val="22"/>
        </w:rPr>
        <w:t>内乡镇、村（社区）应急预案不齐全，开展了消防、防汛、地震演练，未进行演练评估，未开展其他安全生产如防汛、崩塌、滑坡、受限空间、井喷、有毒有害气体泄漏等演练。</w:t>
      </w:r>
    </w:p>
    <w:p>
      <w:pPr>
        <w:ind w:firstLine="640"/>
        <w:rPr>
          <w:rFonts w:cs="Times New Roman"/>
          <w:color w:val="000000" w:themeColor="text1"/>
        </w:rPr>
      </w:pPr>
      <w:r>
        <w:rPr>
          <w:rFonts w:cs="Times New Roman"/>
          <w:bCs/>
          <w:color w:val="000000" w:themeColor="text1"/>
        </w:rPr>
        <w:t>应急指挥</w:t>
      </w:r>
      <w:r>
        <w:rPr>
          <w:rFonts w:cs="Times New Roman"/>
          <w:b/>
          <w:color w:val="000000" w:themeColor="text1"/>
        </w:rPr>
        <w:t>：</w:t>
      </w:r>
      <w:r>
        <w:rPr>
          <w:rFonts w:cs="Times New Roman"/>
          <w:color w:val="000000" w:themeColor="text1"/>
        </w:rPr>
        <w:t>片区应急管理专业人才缺乏，均无应急管理专业或安全工程等相关专业背景。基层应急工作量大，责任重，未建立相关考核激励机制。村（社区）级应急队员均为兼职，无补贴，流动性大，队伍不够稳定，缺乏专业系统培训，年龄普遍偏大，在应对突发事件方面还存在处置能力不足的情况。</w:t>
      </w:r>
    </w:p>
    <w:p>
      <w:pPr>
        <w:ind w:firstLine="640"/>
        <w:rPr>
          <w:rFonts w:cs="Times New Roman"/>
          <w:color w:val="000000" w:themeColor="text1"/>
        </w:rPr>
      </w:pPr>
      <w:r>
        <w:rPr>
          <w:rFonts w:cs="Times New Roman"/>
          <w:bCs/>
          <w:color w:val="000000" w:themeColor="text1"/>
        </w:rPr>
        <w:t>协调联动</w:t>
      </w:r>
      <w:r>
        <w:rPr>
          <w:rFonts w:cs="Times New Roman"/>
          <w:color w:val="000000" w:themeColor="text1"/>
        </w:rPr>
        <w:t>：</w:t>
      </w:r>
      <w:bookmarkStart w:id="34" w:name="_Hlk105027644"/>
      <w:r>
        <w:rPr>
          <w:rFonts w:cs="Times New Roman"/>
          <w:color w:val="000000" w:themeColor="text1"/>
        </w:rPr>
        <w:t>片区内</w:t>
      </w:r>
      <w:r>
        <w:rPr>
          <w:rFonts w:hint="eastAsia" w:cs="Times New Roman"/>
          <w:color w:val="000000" w:themeColor="text1"/>
        </w:rPr>
        <w:t>各乡镇已建立</w:t>
      </w:r>
      <w:r>
        <w:rPr>
          <w:rFonts w:cs="Times New Roman"/>
          <w:color w:val="000000" w:themeColor="text1"/>
        </w:rPr>
        <w:t>相关协同联动机制，</w:t>
      </w:r>
      <w:r>
        <w:rPr>
          <w:rFonts w:hint="eastAsia" w:cs="Times New Roman"/>
          <w:color w:val="000000" w:themeColor="text1"/>
        </w:rPr>
        <w:t>但是</w:t>
      </w:r>
      <w:r>
        <w:rPr>
          <w:rFonts w:cs="Times New Roman"/>
          <w:color w:val="000000" w:themeColor="text1"/>
        </w:rPr>
        <w:t>与应急部门和消防部门联动不强，</w:t>
      </w:r>
      <w:r>
        <w:rPr>
          <w:rFonts w:hint="eastAsia" w:cs="Times New Roman"/>
          <w:color w:val="000000" w:themeColor="text1"/>
        </w:rPr>
        <w:t>仍</w:t>
      </w:r>
      <w:r>
        <w:rPr>
          <w:rFonts w:cs="Times New Roman"/>
          <w:color w:val="000000" w:themeColor="text1"/>
        </w:rPr>
        <w:t>存在各自为政的情况</w:t>
      </w:r>
      <w:bookmarkEnd w:id="34"/>
      <w:r>
        <w:rPr>
          <w:rFonts w:cs="Times New Roman"/>
          <w:color w:val="000000" w:themeColor="text1"/>
        </w:rPr>
        <w:t>。</w:t>
      </w:r>
    </w:p>
    <w:p>
      <w:pPr>
        <w:ind w:firstLine="640"/>
        <w:rPr>
          <w:rFonts w:cs="Times New Roman"/>
          <w:color w:val="000000" w:themeColor="text1"/>
        </w:rPr>
      </w:pPr>
      <w:r>
        <w:rPr>
          <w:rFonts w:cs="Times New Roman"/>
          <w:color w:val="000000" w:themeColor="text1"/>
        </w:rPr>
        <w:t>防灾减灾方面。</w:t>
      </w:r>
      <w:r>
        <w:rPr>
          <w:rFonts w:cs="Times New Roman"/>
          <w:bCs/>
          <w:color w:val="000000" w:themeColor="text1"/>
        </w:rPr>
        <w:t>应急避难场所仍需建设：</w:t>
      </w:r>
      <w:r>
        <w:rPr>
          <w:rFonts w:cs="Times New Roman"/>
          <w:color w:val="000000" w:themeColor="text1"/>
        </w:rPr>
        <w:t>片区内各乡镇无规范化建设的应急避难场所，主要依托于学校、社区和绿地，仅能满足群众临时避难需求，片区人均避难场所面积0.3</w:t>
      </w:r>
      <w:r>
        <w:rPr>
          <w:rFonts w:hint="eastAsia" w:cs="Times New Roman"/>
          <w:color w:val="000000" w:themeColor="text1"/>
        </w:rPr>
        <w:t>8</w:t>
      </w:r>
      <w:r>
        <w:rPr>
          <w:rFonts w:cs="Times New Roman"/>
          <w:color w:val="000000" w:themeColor="text1"/>
        </w:rPr>
        <w:t>㎡，可容纳人数占片区常住人口</w:t>
      </w:r>
      <w:r>
        <w:rPr>
          <w:rFonts w:hint="eastAsia" w:cs="Times New Roman"/>
          <w:color w:val="000000" w:themeColor="text1"/>
        </w:rPr>
        <w:t>25</w:t>
      </w:r>
      <w:r>
        <w:rPr>
          <w:rFonts w:cs="Times New Roman"/>
          <w:color w:val="000000" w:themeColor="text1"/>
        </w:rPr>
        <w:t>%，与有效应对重特大灾害事故的要求还有差距。</w:t>
      </w:r>
    </w:p>
    <w:p>
      <w:pPr>
        <w:ind w:firstLine="640"/>
        <w:rPr>
          <w:rFonts w:cs="Times New Roman"/>
          <w:color w:val="000000" w:themeColor="text1"/>
        </w:rPr>
      </w:pPr>
      <w:r>
        <w:rPr>
          <w:rFonts w:cs="Times New Roman"/>
          <w:bCs/>
          <w:color w:val="000000" w:themeColor="text1"/>
        </w:rPr>
        <w:t>应急物资保障有待完善：</w:t>
      </w:r>
      <w:r>
        <w:rPr>
          <w:rFonts w:cs="Times New Roman"/>
          <w:color w:val="000000" w:themeColor="text1"/>
        </w:rPr>
        <w:t>目前未建设规范的应急物资储备库（点），应急物资储备主要依托于各乡镇政府、村（社区）库房，应急物资储备仅能满足受灾群众临时生活需求。应急物资储备主要依托于应急局储备库，采购与调拨程序复杂、流程长，未建立紧急状态下的应急物资调拨、分发制度。</w:t>
      </w:r>
    </w:p>
    <w:p>
      <w:pPr>
        <w:ind w:firstLine="640"/>
        <w:rPr>
          <w:rFonts w:cs="Times New Roman"/>
          <w:color w:val="000000" w:themeColor="text1"/>
        </w:rPr>
      </w:pPr>
      <w:r>
        <w:rPr>
          <w:rFonts w:cs="Times New Roman"/>
          <w:color w:val="000000" w:themeColor="text1"/>
        </w:rPr>
        <w:t>社会共治共享方面。各乡镇、跨部门、跨行业应急机制未健全：片区各乡镇、部门、驻区企业之间应急信息不通，各自为战，没有形成统一应急指挥体系；公众风险辨识、防范意识和自救互救能力脆弱；安全教育培训覆盖面不够广泛，居民安全意识不强，缺乏应对紧急情况的基本知识和能力。</w:t>
      </w:r>
    </w:p>
    <w:p>
      <w:pPr>
        <w:pStyle w:val="3"/>
        <w:rPr>
          <w:rFonts w:cs="Times New Roman"/>
          <w:bCs w:val="0"/>
          <w:color w:val="000000" w:themeColor="text1"/>
        </w:rPr>
      </w:pPr>
      <w:bookmarkStart w:id="35" w:name="_Toc6813"/>
      <w:r>
        <w:rPr>
          <w:rFonts w:cs="Times New Roman"/>
          <w:bCs w:val="0"/>
          <w:color w:val="000000" w:themeColor="text1"/>
        </w:rPr>
        <w:t>第三章  规划目标</w:t>
      </w:r>
      <w:bookmarkEnd w:id="35"/>
    </w:p>
    <w:bookmarkEnd w:id="25"/>
    <w:p>
      <w:pPr>
        <w:pStyle w:val="4"/>
        <w:rPr>
          <w:rFonts w:cs="Times New Roman"/>
          <w:bCs w:val="0"/>
          <w:color w:val="000000" w:themeColor="text1"/>
        </w:rPr>
      </w:pPr>
      <w:bookmarkStart w:id="36" w:name="_Toc98773628"/>
      <w:bookmarkStart w:id="37" w:name="_Toc11623"/>
      <w:r>
        <w:rPr>
          <w:rFonts w:cs="Times New Roman"/>
          <w:bCs w:val="0"/>
          <w:color w:val="000000" w:themeColor="text1"/>
        </w:rPr>
        <w:t xml:space="preserve">第一节  </w:t>
      </w:r>
      <w:bookmarkEnd w:id="36"/>
      <w:r>
        <w:rPr>
          <w:rFonts w:cs="Times New Roman"/>
          <w:bCs w:val="0"/>
          <w:color w:val="000000" w:themeColor="text1"/>
        </w:rPr>
        <w:t>近期目标</w:t>
      </w:r>
      <w:bookmarkEnd w:id="37"/>
    </w:p>
    <w:p>
      <w:pPr>
        <w:ind w:firstLine="640"/>
        <w:rPr>
          <w:rFonts w:cs="Times New Roman"/>
          <w:color w:val="000000" w:themeColor="text1"/>
        </w:rPr>
      </w:pPr>
      <w:bookmarkStart w:id="38" w:name="_Toc98773629"/>
      <w:r>
        <w:rPr>
          <w:rFonts w:cs="Times New Roman"/>
          <w:color w:val="000000" w:themeColor="text1"/>
        </w:rPr>
        <w:t>到2025年，形成统一领导、权责一致、权威高效的乡镇级应急管理体系。应急管理的系统性、整体性、协同性显著增强，应急响应、指挥、处置能力和基层基础保障能力显著提升，安全风险得到有效管控，自然灾害防御能力进一步提高，应急管理能力智能化水平跃上新台阶。</w:t>
      </w:r>
    </w:p>
    <w:bookmarkEnd w:id="38"/>
    <w:p>
      <w:pPr>
        <w:ind w:firstLine="640"/>
        <w:rPr>
          <w:rFonts w:cs="Times New Roman"/>
          <w:color w:val="000000" w:themeColor="text1"/>
        </w:rPr>
      </w:pPr>
      <w:r>
        <w:rPr>
          <w:rFonts w:cs="Times New Roman"/>
          <w:color w:val="000000" w:themeColor="text1"/>
        </w:rPr>
        <w:t>安全生产目标。安全生产责任全面压实，重点行业领域安全生产水平显著提升。风险分级管控与隐患排查治理机制持续健全，安全风险系统治理、依法治理、综合治理、源头治理能力明显增强。安全生产事故次数、死亡人数、较大事故次数持续下降，坚决遏制重特大事故的发生，</w:t>
      </w:r>
      <w:bookmarkStart w:id="39" w:name="_Hlk105027835"/>
      <w:r>
        <w:rPr>
          <w:rFonts w:cs="Times New Roman"/>
          <w:color w:val="000000" w:themeColor="text1"/>
        </w:rPr>
        <w:t>形成管控有序的安全生产治理体系</w:t>
      </w:r>
      <w:bookmarkEnd w:id="39"/>
      <w:r>
        <w:rPr>
          <w:rFonts w:cs="Times New Roman"/>
          <w:color w:val="000000" w:themeColor="text1"/>
        </w:rPr>
        <w:t>。</w:t>
      </w:r>
    </w:p>
    <w:p>
      <w:pPr>
        <w:ind w:firstLine="640"/>
        <w:jc w:val="center"/>
        <w:rPr>
          <w:rFonts w:cs="Times New Roman"/>
          <w:color w:val="000000" w:themeColor="text1"/>
          <w:szCs w:val="32"/>
        </w:rPr>
      </w:pPr>
      <w:bookmarkStart w:id="40" w:name="_Hlk104234822"/>
      <w:r>
        <w:rPr>
          <w:rFonts w:cs="Times New Roman"/>
          <w:color w:val="000000" w:themeColor="text1"/>
          <w:szCs w:val="32"/>
        </w:rPr>
        <w:t>专栏1  安全生产主要指标</w:t>
      </w:r>
    </w:p>
    <w:bookmarkEnd w:id="40"/>
    <w:tbl>
      <w:tblPr>
        <w:tblStyle w:val="20"/>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402"/>
        <w:gridCol w:w="3402"/>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序号</w:t>
            </w:r>
          </w:p>
        </w:tc>
        <w:tc>
          <w:tcPr>
            <w:tcW w:w="3402" w:type="dxa"/>
            <w:shd w:val="clear" w:color="auto" w:fill="auto"/>
            <w:vAlign w:val="center"/>
          </w:tcPr>
          <w:p>
            <w:pPr>
              <w:pStyle w:val="9"/>
              <w:rPr>
                <w:color w:val="000000" w:themeColor="text1"/>
                <w:lang w:bidi="ar"/>
              </w:rPr>
            </w:pPr>
            <w:r>
              <w:rPr>
                <w:color w:val="000000" w:themeColor="text1"/>
                <w:lang w:bidi="ar"/>
              </w:rPr>
              <w:t>指标名称</w:t>
            </w:r>
          </w:p>
        </w:tc>
        <w:tc>
          <w:tcPr>
            <w:tcW w:w="3402" w:type="dxa"/>
            <w:vAlign w:val="center"/>
          </w:tcPr>
          <w:p>
            <w:pPr>
              <w:pStyle w:val="9"/>
              <w:rPr>
                <w:color w:val="000000" w:themeColor="text1"/>
                <w:lang w:bidi="ar"/>
              </w:rPr>
            </w:pPr>
            <w:r>
              <w:rPr>
                <w:color w:val="000000" w:themeColor="text1"/>
                <w:lang w:bidi="ar"/>
              </w:rPr>
              <w:t>到2025年指标值</w:t>
            </w:r>
          </w:p>
        </w:tc>
        <w:tc>
          <w:tcPr>
            <w:tcW w:w="1194" w:type="dxa"/>
            <w:vAlign w:val="center"/>
          </w:tcPr>
          <w:p>
            <w:pPr>
              <w:pStyle w:val="9"/>
              <w:rPr>
                <w:color w:val="000000" w:themeColor="text1"/>
                <w:lang w:bidi="ar"/>
              </w:rPr>
            </w:pPr>
            <w:r>
              <w:rPr>
                <w:color w:val="000000" w:themeColor="text1"/>
                <w:lang w:bidi="ar"/>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1</w:t>
            </w:r>
          </w:p>
        </w:tc>
        <w:tc>
          <w:tcPr>
            <w:tcW w:w="3402" w:type="dxa"/>
            <w:shd w:val="clear" w:color="auto" w:fill="auto"/>
            <w:vAlign w:val="center"/>
          </w:tcPr>
          <w:p>
            <w:pPr>
              <w:pStyle w:val="9"/>
              <w:spacing w:line="360" w:lineRule="exact"/>
              <w:jc w:val="both"/>
              <w:rPr>
                <w:color w:val="000000" w:themeColor="text1"/>
                <w:lang w:bidi="ar"/>
              </w:rPr>
            </w:pPr>
            <w:bookmarkStart w:id="41" w:name="_Hlk81561093"/>
            <w:r>
              <w:rPr>
                <w:color w:val="000000" w:themeColor="text1"/>
                <w:lang w:bidi="ar"/>
              </w:rPr>
              <w:t>安全生产事故死亡人数</w:t>
            </w:r>
            <w:bookmarkEnd w:id="41"/>
          </w:p>
        </w:tc>
        <w:tc>
          <w:tcPr>
            <w:tcW w:w="3402" w:type="dxa"/>
            <w:vAlign w:val="center"/>
          </w:tcPr>
          <w:p>
            <w:pPr>
              <w:pStyle w:val="9"/>
              <w:rPr>
                <w:color w:val="000000" w:themeColor="text1"/>
                <w:lang w:bidi="ar"/>
              </w:rPr>
            </w:pPr>
            <w:r>
              <w:rPr>
                <w:color w:val="000000" w:themeColor="text1"/>
              </w:rPr>
              <w:t>相比“十三五”期间总数同口径</w:t>
            </w:r>
            <w:r>
              <w:rPr>
                <w:color w:val="000000" w:themeColor="text1"/>
                <w:lang w:bidi="ar"/>
              </w:rPr>
              <w:t>下降</w:t>
            </w:r>
            <w:r>
              <w:rPr>
                <w:rFonts w:hint="eastAsia"/>
                <w:color w:val="000000" w:themeColor="text1"/>
                <w:lang w:val="en-US" w:eastAsia="zh-CN" w:bidi="ar"/>
              </w:rPr>
              <w:t>15</w:t>
            </w:r>
            <w:r>
              <w:rPr>
                <w:color w:val="000000" w:themeColor="text1"/>
                <w:lang w:bidi="ar"/>
              </w:rPr>
              <w:t>%</w:t>
            </w:r>
          </w:p>
        </w:tc>
        <w:tc>
          <w:tcPr>
            <w:tcW w:w="1194" w:type="dxa"/>
            <w:vAlign w:val="center"/>
          </w:tcPr>
          <w:p>
            <w:pPr>
              <w:pStyle w:val="9"/>
              <w:rPr>
                <w:color w:val="000000" w:themeColor="text1"/>
                <w:lang w:bidi="ar"/>
              </w:rPr>
            </w:pPr>
            <w:r>
              <w:rPr>
                <w:color w:val="000000" w:themeColor="text1"/>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2</w:t>
            </w:r>
          </w:p>
        </w:tc>
        <w:tc>
          <w:tcPr>
            <w:tcW w:w="3402" w:type="dxa"/>
            <w:shd w:val="clear" w:color="auto" w:fill="auto"/>
            <w:vAlign w:val="center"/>
          </w:tcPr>
          <w:p>
            <w:pPr>
              <w:pStyle w:val="9"/>
              <w:spacing w:line="360" w:lineRule="exact"/>
              <w:jc w:val="both"/>
              <w:rPr>
                <w:color w:val="000000" w:themeColor="text1"/>
                <w:lang w:bidi="ar"/>
              </w:rPr>
            </w:pPr>
            <w:r>
              <w:rPr>
                <w:rFonts w:eastAsia="方正仿宋_GBK"/>
                <w:snapToGrid w:val="0"/>
                <w:color w:val="000000" w:themeColor="text1"/>
                <w:spacing w:val="-1"/>
                <w:kern w:val="0"/>
                <w:szCs w:val="24"/>
              </w:rPr>
              <w:t>工矿商贸就业人员十万人生产安全事故死亡率</w:t>
            </w:r>
          </w:p>
        </w:tc>
        <w:tc>
          <w:tcPr>
            <w:tcW w:w="3402" w:type="dxa"/>
            <w:vAlign w:val="center"/>
          </w:tcPr>
          <w:p>
            <w:pPr>
              <w:pStyle w:val="9"/>
              <w:rPr>
                <w:color w:val="000000" w:themeColor="text1"/>
              </w:rPr>
            </w:pPr>
            <w:r>
              <w:rPr>
                <w:color w:val="000000" w:themeColor="text1"/>
              </w:rPr>
              <w:t>相比“十三五”期间总数同口径下降</w:t>
            </w:r>
            <w:r>
              <w:rPr>
                <w:rFonts w:hint="eastAsia"/>
                <w:color w:val="000000" w:themeColor="text1"/>
                <w:lang w:val="en-US" w:eastAsia="zh-CN"/>
              </w:rPr>
              <w:t>10</w:t>
            </w:r>
            <w:r>
              <w:rPr>
                <w:color w:val="000000" w:themeColor="text1"/>
              </w:rPr>
              <w:t>%</w:t>
            </w:r>
          </w:p>
        </w:tc>
        <w:tc>
          <w:tcPr>
            <w:tcW w:w="1194" w:type="dxa"/>
            <w:vAlign w:val="center"/>
          </w:tcPr>
          <w:p>
            <w:pPr>
              <w:pStyle w:val="9"/>
              <w:rPr>
                <w:color w:val="000000" w:themeColor="text1"/>
                <w:lang w:bidi="ar"/>
              </w:rPr>
            </w:pPr>
            <w:r>
              <w:rPr>
                <w:color w:val="000000" w:themeColor="text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4</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rPr>
              <w:t>危化、天然气开采、交通等重点行业领域企业新增从业人员安全技能培训率</w:t>
            </w:r>
          </w:p>
        </w:tc>
        <w:tc>
          <w:tcPr>
            <w:tcW w:w="3402" w:type="dxa"/>
            <w:vAlign w:val="center"/>
          </w:tcPr>
          <w:p>
            <w:pPr>
              <w:pStyle w:val="9"/>
              <w:rPr>
                <w:color w:val="000000" w:themeColor="text1"/>
                <w:lang w:bidi="ar"/>
              </w:rPr>
            </w:pPr>
            <w:r>
              <w:rPr>
                <w:color w:val="000000" w:themeColor="text1"/>
                <w:lang w:bidi="ar"/>
              </w:rPr>
              <w:t>100%</w:t>
            </w:r>
          </w:p>
        </w:tc>
        <w:tc>
          <w:tcPr>
            <w:tcW w:w="1194" w:type="dxa"/>
            <w:vAlign w:val="center"/>
          </w:tcPr>
          <w:p>
            <w:pPr>
              <w:pStyle w:val="9"/>
              <w:rPr>
                <w:color w:val="000000" w:themeColor="text1"/>
                <w:lang w:bidi="ar"/>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5</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lang w:bidi="ar"/>
              </w:rPr>
              <w:t>乡镇专职从事安全和应急管理工作人员</w:t>
            </w:r>
          </w:p>
        </w:tc>
        <w:tc>
          <w:tcPr>
            <w:tcW w:w="3402" w:type="dxa"/>
            <w:vAlign w:val="center"/>
          </w:tcPr>
          <w:p>
            <w:pPr>
              <w:pStyle w:val="9"/>
              <w:rPr>
                <w:color w:val="000000" w:themeColor="text1"/>
                <w:lang w:bidi="ar"/>
              </w:rPr>
            </w:pPr>
            <w:r>
              <w:rPr>
                <w:color w:val="000000" w:themeColor="text1"/>
                <w:lang w:bidi="ar"/>
              </w:rPr>
              <w:t>≥2名</w:t>
            </w:r>
          </w:p>
        </w:tc>
        <w:tc>
          <w:tcPr>
            <w:tcW w:w="1194" w:type="dxa"/>
            <w:vAlign w:val="center"/>
          </w:tcPr>
          <w:p>
            <w:pPr>
              <w:pStyle w:val="9"/>
              <w:rPr>
                <w:color w:val="000000" w:themeColor="text1"/>
                <w:lang w:bidi="ar"/>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46" w:type="dxa"/>
            <w:shd w:val="clear" w:color="auto" w:fill="auto"/>
            <w:vAlign w:val="center"/>
          </w:tcPr>
          <w:p>
            <w:pPr>
              <w:pStyle w:val="9"/>
              <w:rPr>
                <w:color w:val="000000" w:themeColor="text1"/>
                <w:lang w:bidi="ar"/>
              </w:rPr>
            </w:pPr>
            <w:r>
              <w:rPr>
                <w:color w:val="000000" w:themeColor="text1"/>
                <w:lang w:bidi="ar"/>
              </w:rPr>
              <w:t>6</w:t>
            </w:r>
          </w:p>
        </w:tc>
        <w:tc>
          <w:tcPr>
            <w:tcW w:w="3402" w:type="dxa"/>
            <w:shd w:val="clear" w:color="auto" w:fill="auto"/>
            <w:vAlign w:val="center"/>
          </w:tcPr>
          <w:p>
            <w:pPr>
              <w:pStyle w:val="9"/>
              <w:spacing w:line="320" w:lineRule="exact"/>
              <w:jc w:val="both"/>
              <w:rPr>
                <w:color w:val="000000" w:themeColor="text1"/>
              </w:rPr>
            </w:pPr>
            <w:r>
              <w:rPr>
                <w:color w:val="000000" w:themeColor="text1"/>
              </w:rPr>
              <w:t>特种作业人员持证上岗率</w:t>
            </w:r>
          </w:p>
        </w:tc>
        <w:tc>
          <w:tcPr>
            <w:tcW w:w="3402" w:type="dxa"/>
            <w:vAlign w:val="center"/>
          </w:tcPr>
          <w:p>
            <w:pPr>
              <w:pStyle w:val="9"/>
              <w:rPr>
                <w:color w:val="000000" w:themeColor="text1"/>
              </w:rPr>
            </w:pPr>
            <w:r>
              <w:rPr>
                <w:color w:val="000000" w:themeColor="text1"/>
              </w:rPr>
              <w:t>100%</w:t>
            </w:r>
          </w:p>
        </w:tc>
        <w:tc>
          <w:tcPr>
            <w:tcW w:w="1194" w:type="dxa"/>
            <w:vAlign w:val="center"/>
          </w:tcPr>
          <w:p>
            <w:pPr>
              <w:pStyle w:val="9"/>
              <w:rPr>
                <w:color w:val="000000" w:themeColor="text1"/>
                <w:kern w:val="0"/>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46" w:type="dxa"/>
            <w:shd w:val="clear" w:color="auto" w:fill="auto"/>
            <w:vAlign w:val="center"/>
          </w:tcPr>
          <w:p>
            <w:pPr>
              <w:pStyle w:val="9"/>
              <w:rPr>
                <w:color w:val="000000" w:themeColor="text1"/>
                <w:lang w:bidi="ar"/>
              </w:rPr>
            </w:pPr>
            <w:r>
              <w:rPr>
                <w:color w:val="000000" w:themeColor="text1"/>
                <w:lang w:bidi="ar"/>
              </w:rPr>
              <w:t>7</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rPr>
              <w:t>安全生产标准化（高危行业和规上企业）达标率</w:t>
            </w:r>
          </w:p>
        </w:tc>
        <w:tc>
          <w:tcPr>
            <w:tcW w:w="3402" w:type="dxa"/>
            <w:vAlign w:val="center"/>
          </w:tcPr>
          <w:p>
            <w:pPr>
              <w:pStyle w:val="9"/>
              <w:rPr>
                <w:color w:val="000000" w:themeColor="text1"/>
              </w:rPr>
            </w:pPr>
            <w:r>
              <w:rPr>
                <w:color w:val="000000" w:themeColor="text1"/>
              </w:rPr>
              <w:t>100%</w:t>
            </w:r>
          </w:p>
        </w:tc>
        <w:tc>
          <w:tcPr>
            <w:tcW w:w="1194" w:type="dxa"/>
            <w:vAlign w:val="center"/>
          </w:tcPr>
          <w:p>
            <w:pPr>
              <w:pStyle w:val="9"/>
              <w:rPr>
                <w:color w:val="000000" w:themeColor="text1"/>
                <w:lang w:bidi="ar"/>
              </w:rPr>
            </w:pPr>
            <w:r>
              <w:rPr>
                <w:color w:val="000000" w:themeColor="text1"/>
                <w:lang w:bidi="ar"/>
              </w:rPr>
              <w:t>预期性</w:t>
            </w:r>
          </w:p>
        </w:tc>
      </w:tr>
    </w:tbl>
    <w:p>
      <w:pPr>
        <w:ind w:firstLine="640"/>
        <w:rPr>
          <w:rFonts w:cs="Times New Roman"/>
          <w:color w:val="000000" w:themeColor="text1"/>
        </w:rPr>
      </w:pPr>
      <w:r>
        <w:rPr>
          <w:rFonts w:cs="Times New Roman"/>
          <w:color w:val="000000" w:themeColor="text1"/>
        </w:rPr>
        <w:t>自然灾害防治目标。进一步完善乡镇救灾物资储备体系，</w:t>
      </w:r>
      <w:r>
        <w:rPr>
          <w:rFonts w:cs="Times New Roman"/>
          <w:color w:val="000000" w:themeColor="text1"/>
          <w:lang w:bidi="ar"/>
        </w:rPr>
        <w:t>推进避难场所规范化建设</w:t>
      </w:r>
      <w:r>
        <w:rPr>
          <w:rFonts w:cs="Times New Roman"/>
          <w:color w:val="000000" w:themeColor="text1"/>
          <w:szCs w:val="32"/>
        </w:rPr>
        <w:t>。受灾群众基本生活得到有效救助，</w:t>
      </w:r>
      <w:r>
        <w:rPr>
          <w:rFonts w:cs="Times New Roman"/>
          <w:color w:val="000000" w:themeColor="text1"/>
        </w:rPr>
        <w:t>灾害综合救助水平显著提高。洪涝、地震、火灾等风险监测预警能力明显提升。</w:t>
      </w:r>
    </w:p>
    <w:p>
      <w:pPr>
        <w:ind w:firstLine="640"/>
        <w:jc w:val="center"/>
        <w:rPr>
          <w:rFonts w:cs="Times New Roman"/>
          <w:color w:val="000000" w:themeColor="text1"/>
          <w:sz w:val="24"/>
          <w:szCs w:val="21"/>
        </w:rPr>
      </w:pPr>
      <w:r>
        <w:rPr>
          <w:rFonts w:cs="Times New Roman"/>
          <w:color w:val="000000" w:themeColor="text1"/>
          <w:lang w:bidi="ar"/>
        </w:rPr>
        <w:t xml:space="preserve">专栏2 </w:t>
      </w:r>
      <w:bookmarkStart w:id="42" w:name="_Hlk104234845"/>
      <w:r>
        <w:rPr>
          <w:rFonts w:cs="Times New Roman"/>
          <w:color w:val="000000" w:themeColor="text1"/>
          <w:lang w:bidi="ar"/>
        </w:rPr>
        <w:t>自然灾害防治主要指标</w:t>
      </w:r>
      <w:bookmarkEnd w:id="42"/>
    </w:p>
    <w:tbl>
      <w:tblPr>
        <w:tblStyle w:val="21"/>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285"/>
        <w:gridCol w:w="2155"/>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序号</w:t>
            </w:r>
          </w:p>
        </w:tc>
        <w:tc>
          <w:tcPr>
            <w:tcW w:w="0" w:type="auto"/>
            <w:vAlign w:val="center"/>
          </w:tcPr>
          <w:p>
            <w:pPr>
              <w:pStyle w:val="9"/>
              <w:rPr>
                <w:color w:val="000000" w:themeColor="text1"/>
              </w:rPr>
            </w:pPr>
            <w:r>
              <w:rPr>
                <w:color w:val="000000" w:themeColor="text1"/>
                <w:lang w:bidi="ar"/>
              </w:rPr>
              <w:t>指标名称</w:t>
            </w:r>
          </w:p>
        </w:tc>
        <w:tc>
          <w:tcPr>
            <w:tcW w:w="2155" w:type="dxa"/>
            <w:vAlign w:val="center"/>
          </w:tcPr>
          <w:p>
            <w:pPr>
              <w:pStyle w:val="9"/>
              <w:rPr>
                <w:color w:val="000000" w:themeColor="text1"/>
                <w:lang w:bidi="ar"/>
              </w:rPr>
            </w:pPr>
            <w:r>
              <w:rPr>
                <w:color w:val="000000" w:themeColor="text1"/>
                <w:lang w:bidi="ar"/>
              </w:rPr>
              <w:t>到2025年指标值</w:t>
            </w:r>
          </w:p>
        </w:tc>
        <w:tc>
          <w:tcPr>
            <w:tcW w:w="1308" w:type="dxa"/>
            <w:vAlign w:val="center"/>
          </w:tcPr>
          <w:p>
            <w:pPr>
              <w:pStyle w:val="9"/>
              <w:rPr>
                <w:color w:val="000000" w:themeColor="text1"/>
              </w:rPr>
            </w:pPr>
            <w:r>
              <w:rPr>
                <w:color w:val="000000" w:themeColor="text1"/>
                <w:lang w:bidi="ar"/>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1</w:t>
            </w:r>
          </w:p>
        </w:tc>
        <w:tc>
          <w:tcPr>
            <w:tcW w:w="0" w:type="auto"/>
            <w:vAlign w:val="center"/>
          </w:tcPr>
          <w:p>
            <w:pPr>
              <w:pStyle w:val="9"/>
              <w:rPr>
                <w:color w:val="000000" w:themeColor="text1"/>
              </w:rPr>
            </w:pPr>
            <w:r>
              <w:rPr>
                <w:color w:val="000000" w:themeColor="text1"/>
                <w:lang w:bidi="ar"/>
              </w:rPr>
              <w:t>灾害信息发布公众覆盖率</w:t>
            </w:r>
          </w:p>
        </w:tc>
        <w:tc>
          <w:tcPr>
            <w:tcW w:w="2155" w:type="dxa"/>
            <w:vAlign w:val="center"/>
          </w:tcPr>
          <w:p>
            <w:pPr>
              <w:pStyle w:val="9"/>
              <w:rPr>
                <w:color w:val="000000" w:themeColor="text1"/>
                <w:lang w:bidi="ar"/>
              </w:rPr>
            </w:pPr>
            <w:r>
              <w:rPr>
                <w:color w:val="000000" w:themeColor="text1"/>
                <w:lang w:bidi="ar"/>
              </w:rPr>
              <w:t>＞90%</w:t>
            </w:r>
          </w:p>
        </w:tc>
        <w:tc>
          <w:tcPr>
            <w:tcW w:w="1308" w:type="dxa"/>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2</w:t>
            </w:r>
          </w:p>
        </w:tc>
        <w:tc>
          <w:tcPr>
            <w:tcW w:w="0" w:type="auto"/>
            <w:vAlign w:val="center"/>
          </w:tcPr>
          <w:p>
            <w:pPr>
              <w:pStyle w:val="9"/>
              <w:rPr>
                <w:color w:val="000000" w:themeColor="text1"/>
              </w:rPr>
            </w:pPr>
            <w:r>
              <w:rPr>
                <w:color w:val="000000" w:themeColor="text1"/>
              </w:rPr>
              <w:t>受灾群众基本生活得到有效救助的时间</w:t>
            </w:r>
          </w:p>
        </w:tc>
        <w:tc>
          <w:tcPr>
            <w:tcW w:w="2155" w:type="dxa"/>
            <w:vAlign w:val="center"/>
          </w:tcPr>
          <w:p>
            <w:pPr>
              <w:pStyle w:val="9"/>
              <w:rPr>
                <w:color w:val="000000" w:themeColor="text1"/>
                <w:lang w:bidi="ar"/>
              </w:rPr>
            </w:pPr>
            <w:r>
              <w:rPr>
                <w:color w:val="000000" w:themeColor="text1"/>
              </w:rPr>
              <w:t>≤</w:t>
            </w:r>
            <w:r>
              <w:rPr>
                <w:color w:val="000000" w:themeColor="text1"/>
                <w:lang w:bidi="ar"/>
              </w:rPr>
              <w:t xml:space="preserve">6小时 </w:t>
            </w:r>
          </w:p>
        </w:tc>
        <w:tc>
          <w:tcPr>
            <w:tcW w:w="1308" w:type="dxa"/>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3</w:t>
            </w:r>
          </w:p>
        </w:tc>
        <w:tc>
          <w:tcPr>
            <w:tcW w:w="0" w:type="auto"/>
            <w:vAlign w:val="center"/>
          </w:tcPr>
          <w:p>
            <w:pPr>
              <w:pStyle w:val="9"/>
              <w:rPr>
                <w:color w:val="000000" w:themeColor="text1"/>
              </w:rPr>
            </w:pPr>
            <w:r>
              <w:rPr>
                <w:color w:val="000000" w:themeColor="text1"/>
                <w:lang w:bidi="ar"/>
              </w:rPr>
              <w:t>乡镇应急物资储备点物资配备率</w:t>
            </w:r>
          </w:p>
        </w:tc>
        <w:tc>
          <w:tcPr>
            <w:tcW w:w="2155" w:type="dxa"/>
            <w:vAlign w:val="center"/>
          </w:tcPr>
          <w:p>
            <w:pPr>
              <w:pStyle w:val="9"/>
              <w:rPr>
                <w:color w:val="000000" w:themeColor="text1"/>
                <w:lang w:bidi="ar"/>
              </w:rPr>
            </w:pPr>
            <w:r>
              <w:rPr>
                <w:color w:val="000000" w:themeColor="text1"/>
                <w:lang w:bidi="ar"/>
              </w:rPr>
              <w:t>100%</w:t>
            </w:r>
          </w:p>
        </w:tc>
        <w:tc>
          <w:tcPr>
            <w:tcW w:w="1308" w:type="dxa"/>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4</w:t>
            </w:r>
          </w:p>
        </w:tc>
        <w:tc>
          <w:tcPr>
            <w:tcW w:w="0" w:type="auto"/>
            <w:vAlign w:val="center"/>
          </w:tcPr>
          <w:p>
            <w:pPr>
              <w:pStyle w:val="9"/>
              <w:rPr>
                <w:color w:val="000000" w:themeColor="text1"/>
              </w:rPr>
            </w:pPr>
            <w:r>
              <w:rPr>
                <w:color w:val="000000" w:themeColor="text1"/>
                <w:lang w:bidi="ar"/>
              </w:rPr>
              <w:t>村（社区）应急物资储备点物资配备率</w:t>
            </w:r>
          </w:p>
        </w:tc>
        <w:tc>
          <w:tcPr>
            <w:tcW w:w="2155" w:type="dxa"/>
            <w:vAlign w:val="center"/>
          </w:tcPr>
          <w:p>
            <w:pPr>
              <w:pStyle w:val="9"/>
              <w:rPr>
                <w:color w:val="000000" w:themeColor="text1"/>
                <w:lang w:bidi="ar"/>
              </w:rPr>
            </w:pPr>
            <w:r>
              <w:rPr>
                <w:color w:val="000000" w:themeColor="text1"/>
                <w:lang w:bidi="ar"/>
              </w:rPr>
              <w:t>100%</w:t>
            </w:r>
          </w:p>
        </w:tc>
        <w:tc>
          <w:tcPr>
            <w:tcW w:w="1308" w:type="dxa"/>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rPr>
            </w:pPr>
            <w:r>
              <w:rPr>
                <w:color w:val="000000" w:themeColor="text1"/>
                <w:lang w:bidi="ar"/>
              </w:rPr>
              <w:t>5</w:t>
            </w:r>
          </w:p>
        </w:tc>
        <w:tc>
          <w:tcPr>
            <w:tcW w:w="0" w:type="auto"/>
            <w:vAlign w:val="center"/>
          </w:tcPr>
          <w:p>
            <w:pPr>
              <w:pStyle w:val="9"/>
              <w:rPr>
                <w:color w:val="000000" w:themeColor="text1"/>
              </w:rPr>
            </w:pPr>
            <w:r>
              <w:rPr>
                <w:color w:val="000000" w:themeColor="text1"/>
                <w:lang w:bidi="ar"/>
              </w:rPr>
              <w:t>应急避难场所人均避难面积</w:t>
            </w:r>
          </w:p>
        </w:tc>
        <w:tc>
          <w:tcPr>
            <w:tcW w:w="2155" w:type="dxa"/>
            <w:vAlign w:val="center"/>
          </w:tcPr>
          <w:p>
            <w:pPr>
              <w:pStyle w:val="9"/>
              <w:rPr>
                <w:color w:val="000000" w:themeColor="text1"/>
                <w:lang w:bidi="ar"/>
              </w:rPr>
            </w:pPr>
            <w:r>
              <w:rPr>
                <w:color w:val="000000" w:themeColor="text1"/>
                <w:lang w:bidi="ar"/>
              </w:rPr>
              <w:t>≥1.5m</w:t>
            </w:r>
            <w:r>
              <w:rPr>
                <w:color w:val="000000" w:themeColor="text1"/>
                <w:vertAlign w:val="superscript"/>
                <w:lang w:bidi="ar"/>
              </w:rPr>
              <w:t>2</w:t>
            </w:r>
          </w:p>
        </w:tc>
        <w:tc>
          <w:tcPr>
            <w:tcW w:w="1308" w:type="dxa"/>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9"/>
              <w:rPr>
                <w:color w:val="000000" w:themeColor="text1"/>
                <w:lang w:bidi="ar"/>
              </w:rPr>
            </w:pPr>
            <w:r>
              <w:rPr>
                <w:color w:val="000000" w:themeColor="text1"/>
                <w:lang w:bidi="ar"/>
              </w:rPr>
              <w:t>6</w:t>
            </w:r>
          </w:p>
        </w:tc>
        <w:tc>
          <w:tcPr>
            <w:tcW w:w="0" w:type="auto"/>
            <w:vAlign w:val="center"/>
          </w:tcPr>
          <w:p>
            <w:pPr>
              <w:pStyle w:val="9"/>
              <w:rPr>
                <w:color w:val="000000" w:themeColor="text1"/>
                <w:lang w:bidi="ar"/>
              </w:rPr>
            </w:pPr>
            <w:r>
              <w:rPr>
                <w:color w:val="000000" w:themeColor="text1"/>
                <w:lang w:bidi="ar"/>
              </w:rPr>
              <w:t>自然灾害点位智能监测覆盖率</w:t>
            </w:r>
          </w:p>
        </w:tc>
        <w:tc>
          <w:tcPr>
            <w:tcW w:w="2155" w:type="dxa"/>
            <w:vAlign w:val="center"/>
          </w:tcPr>
          <w:p>
            <w:pPr>
              <w:pStyle w:val="9"/>
              <w:rPr>
                <w:color w:val="000000" w:themeColor="text1"/>
                <w:lang w:bidi="ar"/>
              </w:rPr>
            </w:pPr>
            <w:r>
              <w:rPr>
                <w:color w:val="000000" w:themeColor="text1"/>
                <w:lang w:bidi="ar"/>
              </w:rPr>
              <w:t>≥60%</w:t>
            </w:r>
          </w:p>
        </w:tc>
        <w:tc>
          <w:tcPr>
            <w:tcW w:w="1308" w:type="dxa"/>
            <w:vAlign w:val="center"/>
          </w:tcPr>
          <w:p>
            <w:pPr>
              <w:pStyle w:val="9"/>
              <w:rPr>
                <w:color w:val="000000" w:themeColor="text1"/>
                <w:lang w:bidi="ar"/>
              </w:rPr>
            </w:pPr>
            <w:r>
              <w:rPr>
                <w:color w:val="000000" w:themeColor="text1"/>
                <w:lang w:bidi="ar"/>
              </w:rPr>
              <w:t>预期性</w:t>
            </w:r>
          </w:p>
        </w:tc>
      </w:tr>
    </w:tbl>
    <w:p>
      <w:pPr>
        <w:ind w:firstLine="640"/>
        <w:rPr>
          <w:rFonts w:cs="Times New Roman"/>
          <w:color w:val="000000" w:themeColor="text1"/>
        </w:rPr>
      </w:pPr>
      <w:r>
        <w:rPr>
          <w:rFonts w:cs="Times New Roman"/>
          <w:color w:val="000000" w:themeColor="text1"/>
        </w:rPr>
        <w:t>应急能力目标。健全以综合性消防救援队伍为主力乡镇应急队、村（社区）应急分队为辅助、社会应急力量为补充的“1+2”应急救援力量体系。基础设施建设快速推进，应急救援人员装备配备水平符合实际工作需要，多层次、多元化的应急物资保障能力明显提升。片区内应急管理和处置工作实现村（社区）、乡镇和友邻县乡联动。</w:t>
      </w:r>
    </w:p>
    <w:p>
      <w:pPr>
        <w:ind w:firstLine="640"/>
        <w:jc w:val="center"/>
        <w:rPr>
          <w:rFonts w:cs="Times New Roman"/>
          <w:color w:val="000000" w:themeColor="text1"/>
          <w:szCs w:val="32"/>
        </w:rPr>
      </w:pPr>
      <w:r>
        <w:rPr>
          <w:rFonts w:cs="Times New Roman"/>
          <w:color w:val="000000" w:themeColor="text1"/>
          <w:szCs w:val="32"/>
        </w:rPr>
        <w:t xml:space="preserve">专栏3 </w:t>
      </w:r>
      <w:bookmarkStart w:id="43" w:name="_Hlk104234858"/>
      <w:r>
        <w:rPr>
          <w:rFonts w:cs="Times New Roman"/>
          <w:color w:val="000000" w:themeColor="text1"/>
          <w:szCs w:val="32"/>
        </w:rPr>
        <w:t>应急能力主要指标</w:t>
      </w:r>
      <w:bookmarkEnd w:id="43"/>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209"/>
        <w:gridCol w:w="2257"/>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序号</w:t>
            </w:r>
          </w:p>
        </w:tc>
        <w:tc>
          <w:tcPr>
            <w:tcW w:w="2468" w:type="pct"/>
            <w:vAlign w:val="center"/>
          </w:tcPr>
          <w:p>
            <w:pPr>
              <w:pStyle w:val="9"/>
              <w:rPr>
                <w:color w:val="000000" w:themeColor="text1"/>
              </w:rPr>
            </w:pPr>
            <w:r>
              <w:rPr>
                <w:color w:val="000000" w:themeColor="text1"/>
              </w:rPr>
              <w:t>指标名称</w:t>
            </w:r>
          </w:p>
        </w:tc>
        <w:tc>
          <w:tcPr>
            <w:tcW w:w="1323" w:type="pct"/>
            <w:vAlign w:val="center"/>
          </w:tcPr>
          <w:p>
            <w:pPr>
              <w:pStyle w:val="9"/>
              <w:rPr>
                <w:color w:val="000000" w:themeColor="text1"/>
              </w:rPr>
            </w:pPr>
            <w:r>
              <w:rPr>
                <w:color w:val="000000" w:themeColor="text1"/>
              </w:rPr>
              <w:t>到2025年指标值</w:t>
            </w:r>
          </w:p>
        </w:tc>
        <w:tc>
          <w:tcPr>
            <w:tcW w:w="760" w:type="pct"/>
            <w:vAlign w:val="center"/>
          </w:tcPr>
          <w:p>
            <w:pPr>
              <w:pStyle w:val="9"/>
              <w:rPr>
                <w:color w:val="000000" w:themeColor="text1"/>
              </w:rPr>
            </w:pPr>
            <w:r>
              <w:rPr>
                <w:color w:val="000000" w:themeColor="text1"/>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1</w:t>
            </w:r>
          </w:p>
        </w:tc>
        <w:tc>
          <w:tcPr>
            <w:tcW w:w="2468" w:type="pct"/>
            <w:vAlign w:val="center"/>
          </w:tcPr>
          <w:p>
            <w:pPr>
              <w:pStyle w:val="9"/>
              <w:rPr>
                <w:color w:val="000000" w:themeColor="text1"/>
              </w:rPr>
            </w:pPr>
            <w:r>
              <w:rPr>
                <w:color w:val="000000" w:themeColor="text1"/>
              </w:rPr>
              <w:t>应急预案编制率与演练率</w:t>
            </w:r>
          </w:p>
        </w:tc>
        <w:tc>
          <w:tcPr>
            <w:tcW w:w="1323" w:type="pct"/>
            <w:vAlign w:val="center"/>
          </w:tcPr>
          <w:p>
            <w:pPr>
              <w:pStyle w:val="9"/>
              <w:rPr>
                <w:color w:val="000000" w:themeColor="text1"/>
              </w:rPr>
            </w:pPr>
            <w:r>
              <w:rPr>
                <w:color w:val="000000" w:themeColor="text1"/>
              </w:rPr>
              <w:t>100%</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2</w:t>
            </w:r>
          </w:p>
        </w:tc>
        <w:tc>
          <w:tcPr>
            <w:tcW w:w="2468" w:type="pct"/>
            <w:vAlign w:val="center"/>
          </w:tcPr>
          <w:p>
            <w:pPr>
              <w:pStyle w:val="9"/>
              <w:rPr>
                <w:color w:val="000000" w:themeColor="text1"/>
              </w:rPr>
            </w:pPr>
            <w:r>
              <w:rPr>
                <w:color w:val="000000" w:themeColor="text1"/>
              </w:rPr>
              <w:t>灾后得到有效救援时间</w:t>
            </w:r>
          </w:p>
        </w:tc>
        <w:tc>
          <w:tcPr>
            <w:tcW w:w="1323" w:type="pct"/>
            <w:vAlign w:val="center"/>
          </w:tcPr>
          <w:p>
            <w:pPr>
              <w:pStyle w:val="9"/>
              <w:rPr>
                <w:color w:val="000000" w:themeColor="text1"/>
              </w:rPr>
            </w:pPr>
            <w:r>
              <w:rPr>
                <w:color w:val="000000" w:themeColor="text1"/>
              </w:rPr>
              <w:t>＜6h</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3</w:t>
            </w:r>
          </w:p>
        </w:tc>
        <w:tc>
          <w:tcPr>
            <w:tcW w:w="2468" w:type="pct"/>
            <w:vAlign w:val="center"/>
          </w:tcPr>
          <w:p>
            <w:pPr>
              <w:pStyle w:val="9"/>
              <w:rPr>
                <w:color w:val="000000" w:themeColor="text1"/>
              </w:rPr>
            </w:pPr>
            <w:r>
              <w:rPr>
                <w:color w:val="000000" w:themeColor="text1"/>
              </w:rPr>
              <w:t>中心镇消防力量到达辖区边缘时间</w:t>
            </w:r>
          </w:p>
        </w:tc>
        <w:tc>
          <w:tcPr>
            <w:tcW w:w="1323" w:type="pct"/>
            <w:vAlign w:val="center"/>
          </w:tcPr>
          <w:p>
            <w:pPr>
              <w:pStyle w:val="9"/>
              <w:rPr>
                <w:color w:val="000000" w:themeColor="text1"/>
              </w:rPr>
            </w:pPr>
            <w:r>
              <w:rPr>
                <w:color w:val="000000" w:themeColor="text1"/>
              </w:rPr>
              <w:t>＜60分钟</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4</w:t>
            </w:r>
          </w:p>
        </w:tc>
        <w:tc>
          <w:tcPr>
            <w:tcW w:w="2468" w:type="pct"/>
            <w:vAlign w:val="center"/>
          </w:tcPr>
          <w:p>
            <w:pPr>
              <w:pStyle w:val="9"/>
              <w:rPr>
                <w:color w:val="000000" w:themeColor="text1"/>
              </w:rPr>
            </w:pPr>
            <w:r>
              <w:rPr>
                <w:color w:val="000000" w:themeColor="text1"/>
              </w:rPr>
              <w:t>专业消防员与常住人口配比率</w:t>
            </w:r>
          </w:p>
        </w:tc>
        <w:tc>
          <w:tcPr>
            <w:tcW w:w="1323" w:type="pct"/>
            <w:vAlign w:val="center"/>
          </w:tcPr>
          <w:p>
            <w:pPr>
              <w:pStyle w:val="9"/>
              <w:rPr>
                <w:color w:val="000000" w:themeColor="text1"/>
              </w:rPr>
            </w:pPr>
            <w:r>
              <w:rPr>
                <w:color w:val="000000" w:themeColor="text1"/>
              </w:rPr>
              <w:t>≥0.3‰</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5</w:t>
            </w:r>
          </w:p>
        </w:tc>
        <w:tc>
          <w:tcPr>
            <w:tcW w:w="2468" w:type="pct"/>
            <w:vAlign w:val="center"/>
          </w:tcPr>
          <w:p>
            <w:pPr>
              <w:pStyle w:val="9"/>
              <w:rPr>
                <w:color w:val="000000" w:themeColor="text1"/>
              </w:rPr>
            </w:pPr>
            <w:r>
              <w:rPr>
                <w:color w:val="000000" w:themeColor="text1"/>
              </w:rPr>
              <w:t>家庭应急包配备率</w:t>
            </w:r>
          </w:p>
        </w:tc>
        <w:tc>
          <w:tcPr>
            <w:tcW w:w="1323" w:type="pct"/>
            <w:vAlign w:val="center"/>
          </w:tcPr>
          <w:p>
            <w:pPr>
              <w:pStyle w:val="9"/>
              <w:rPr>
                <w:color w:val="000000" w:themeColor="text1"/>
              </w:rPr>
            </w:pPr>
            <w:r>
              <w:rPr>
                <w:color w:val="000000" w:themeColor="text1"/>
              </w:rPr>
              <w:t>≥80%</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color w:val="000000" w:themeColor="text1"/>
              </w:rPr>
              <w:t>6</w:t>
            </w:r>
          </w:p>
        </w:tc>
        <w:tc>
          <w:tcPr>
            <w:tcW w:w="2468" w:type="pct"/>
            <w:vAlign w:val="center"/>
          </w:tcPr>
          <w:p>
            <w:pPr>
              <w:pStyle w:val="9"/>
              <w:rPr>
                <w:color w:val="000000" w:themeColor="text1"/>
              </w:rPr>
            </w:pPr>
            <w:r>
              <w:rPr>
                <w:color w:val="000000" w:themeColor="text1"/>
              </w:rPr>
              <w:t>公众应急知识普及率</w:t>
            </w:r>
          </w:p>
        </w:tc>
        <w:tc>
          <w:tcPr>
            <w:tcW w:w="1323" w:type="pct"/>
            <w:vAlign w:val="center"/>
          </w:tcPr>
          <w:p>
            <w:pPr>
              <w:pStyle w:val="9"/>
              <w:rPr>
                <w:color w:val="000000" w:themeColor="text1"/>
              </w:rPr>
            </w:pPr>
            <w:r>
              <w:rPr>
                <w:color w:val="000000" w:themeColor="text1"/>
              </w:rPr>
              <w:t>≥95％</w:t>
            </w:r>
          </w:p>
        </w:tc>
        <w:tc>
          <w:tcPr>
            <w:tcW w:w="760" w:type="pct"/>
            <w:vAlign w:val="center"/>
          </w:tcPr>
          <w:p>
            <w:pPr>
              <w:pStyle w:val="9"/>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rPr>
                <w:color w:val="000000" w:themeColor="text1"/>
              </w:rPr>
            </w:pPr>
            <w:r>
              <w:rPr>
                <w:rFonts w:hint="eastAsia"/>
                <w:color w:val="000000" w:themeColor="text1"/>
              </w:rPr>
              <w:t>7</w:t>
            </w:r>
          </w:p>
        </w:tc>
        <w:tc>
          <w:tcPr>
            <w:tcW w:w="2468" w:type="pct"/>
            <w:vAlign w:val="center"/>
          </w:tcPr>
          <w:p>
            <w:pPr>
              <w:pStyle w:val="9"/>
              <w:rPr>
                <w:color w:val="000000" w:themeColor="text1"/>
              </w:rPr>
            </w:pPr>
            <w:r>
              <w:rPr>
                <w:color w:val="000000" w:themeColor="text1"/>
              </w:rPr>
              <w:t>学生应急知识普及率</w:t>
            </w:r>
          </w:p>
        </w:tc>
        <w:tc>
          <w:tcPr>
            <w:tcW w:w="1323" w:type="pct"/>
            <w:vAlign w:val="center"/>
          </w:tcPr>
          <w:p>
            <w:pPr>
              <w:pStyle w:val="9"/>
              <w:rPr>
                <w:color w:val="000000" w:themeColor="text1"/>
              </w:rPr>
            </w:pPr>
            <w:r>
              <w:rPr>
                <w:color w:val="000000" w:themeColor="text1"/>
              </w:rPr>
              <w:t>100%</w:t>
            </w:r>
          </w:p>
        </w:tc>
        <w:tc>
          <w:tcPr>
            <w:tcW w:w="760" w:type="pct"/>
            <w:vAlign w:val="center"/>
          </w:tcPr>
          <w:p>
            <w:pPr>
              <w:pStyle w:val="9"/>
              <w:rPr>
                <w:color w:val="000000" w:themeColor="text1"/>
              </w:rPr>
            </w:pPr>
            <w:r>
              <w:rPr>
                <w:color w:val="000000" w:themeColor="text1"/>
              </w:rPr>
              <w:t>预期性</w:t>
            </w:r>
          </w:p>
        </w:tc>
      </w:tr>
    </w:tbl>
    <w:p>
      <w:pPr>
        <w:pStyle w:val="4"/>
        <w:rPr>
          <w:rFonts w:cs="Times New Roman"/>
          <w:color w:val="000000" w:themeColor="text1"/>
        </w:rPr>
      </w:pPr>
      <w:bookmarkStart w:id="44" w:name="_Toc14506"/>
      <w:bookmarkStart w:id="45" w:name="_Toc91792983"/>
      <w:bookmarkStart w:id="46" w:name="_Toc91790490"/>
      <w:bookmarkStart w:id="47" w:name="_Toc98773631"/>
      <w:r>
        <w:rPr>
          <w:rFonts w:cs="Times New Roman"/>
          <w:color w:val="000000" w:themeColor="text1"/>
        </w:rPr>
        <w:t>第二节  远景目标</w:t>
      </w:r>
      <w:bookmarkEnd w:id="44"/>
    </w:p>
    <w:p>
      <w:pPr>
        <w:ind w:firstLine="640"/>
        <w:rPr>
          <w:rFonts w:cs="Times New Roman"/>
          <w:color w:val="000000" w:themeColor="text1"/>
        </w:rPr>
      </w:pPr>
      <w:r>
        <w:rPr>
          <w:rFonts w:cs="Times New Roman"/>
          <w:color w:val="000000" w:themeColor="text1"/>
        </w:rPr>
        <w:t>到2035年，全面提升应急管理能力智能化水平。风险防控能力显著提升，全面实现各类安全风险精准识别、整体监测、实时感知、早期预警和有效防控，综合保障能力全面增强，紧急救援队伍和装备水平显著提升，共商共建共治共享的应急管理新格局全面形成，人民群众的获得感、幸福感、安全感显著增强。</w:t>
      </w:r>
    </w:p>
    <w:p>
      <w:pPr>
        <w:pStyle w:val="3"/>
        <w:rPr>
          <w:rFonts w:cs="Times New Roman"/>
          <w:color w:val="000000" w:themeColor="text1"/>
        </w:rPr>
      </w:pPr>
      <w:bookmarkStart w:id="48" w:name="_Toc4079"/>
      <w:r>
        <w:rPr>
          <w:rFonts w:cs="Times New Roman"/>
          <w:color w:val="000000" w:themeColor="text1"/>
        </w:rPr>
        <w:t xml:space="preserve">第四章 </w:t>
      </w:r>
      <w:bookmarkEnd w:id="45"/>
      <w:bookmarkEnd w:id="46"/>
      <w:r>
        <w:rPr>
          <w:rFonts w:cs="Times New Roman"/>
          <w:color w:val="000000" w:themeColor="text1"/>
        </w:rPr>
        <w:t xml:space="preserve"> </w:t>
      </w:r>
      <w:bookmarkStart w:id="49" w:name="_Hlk104234886"/>
      <w:r>
        <w:rPr>
          <w:rFonts w:cs="Times New Roman"/>
          <w:color w:val="000000" w:themeColor="text1"/>
        </w:rPr>
        <w:t>主要任务和重点工程</w:t>
      </w:r>
      <w:bookmarkEnd w:id="47"/>
      <w:bookmarkEnd w:id="48"/>
      <w:bookmarkStart w:id="50" w:name="_Toc98773632"/>
    </w:p>
    <w:bookmarkEnd w:id="49"/>
    <w:p>
      <w:pPr>
        <w:pStyle w:val="4"/>
        <w:rPr>
          <w:rFonts w:cs="Times New Roman"/>
          <w:bCs w:val="0"/>
          <w:color w:val="000000" w:themeColor="text1"/>
        </w:rPr>
      </w:pPr>
      <w:bookmarkStart w:id="51" w:name="_Toc4899"/>
      <w:r>
        <w:rPr>
          <w:rFonts w:cs="Times New Roman"/>
          <w:bCs w:val="0"/>
          <w:color w:val="000000" w:themeColor="text1"/>
        </w:rPr>
        <w:t xml:space="preserve">第一节  </w:t>
      </w:r>
      <w:bookmarkEnd w:id="50"/>
      <w:r>
        <w:rPr>
          <w:rFonts w:cs="Times New Roman"/>
          <w:bCs w:val="0"/>
          <w:color w:val="000000" w:themeColor="text1"/>
        </w:rPr>
        <w:t>完善应急管理组织体系</w:t>
      </w:r>
      <w:bookmarkEnd w:id="51"/>
    </w:p>
    <w:p>
      <w:pPr>
        <w:ind w:firstLine="640"/>
        <w:rPr>
          <w:rFonts w:cs="Times New Roman"/>
          <w:b/>
          <w:bCs/>
          <w:color w:val="000000" w:themeColor="text1"/>
        </w:rPr>
      </w:pPr>
      <w:bookmarkStart w:id="52" w:name="_Hlk105028382"/>
      <w:bookmarkStart w:id="53" w:name="_Hlk104235132"/>
      <w:r>
        <w:rPr>
          <w:rFonts w:cs="Times New Roman"/>
          <w:color w:val="000000" w:themeColor="text1"/>
        </w:rPr>
        <w:t>健全应急管理组织机构</w:t>
      </w:r>
      <w:bookmarkEnd w:id="52"/>
      <w:r>
        <w:rPr>
          <w:rFonts w:cs="Times New Roman"/>
          <w:color w:val="000000" w:themeColor="text1"/>
        </w:rPr>
        <w:t>。</w:t>
      </w:r>
      <w:bookmarkEnd w:id="53"/>
      <w:r>
        <w:rPr>
          <w:rFonts w:cs="Times New Roman"/>
          <w:color w:val="000000" w:themeColor="text1"/>
        </w:rPr>
        <w:t>片区</w:t>
      </w:r>
      <w:r>
        <w:rPr>
          <w:rFonts w:cs="Times New Roman"/>
          <w:color w:val="000000" w:themeColor="text1"/>
          <w:szCs w:val="32"/>
        </w:rPr>
        <w:t>乡镇依据（安委编办发</w:t>
      </w:r>
      <w:r>
        <w:rPr>
          <w:rFonts w:cs="Times New Roman"/>
          <w:color w:val="000000" w:themeColor="text1"/>
        </w:rPr>
        <w:t>〔2022〕18号）</w:t>
      </w:r>
      <w:r>
        <w:rPr>
          <w:rFonts w:cs="Times New Roman"/>
          <w:color w:val="000000" w:themeColor="text1"/>
          <w:szCs w:val="32"/>
        </w:rPr>
        <w:t>《关于进一步加强乡镇应急管理体系建设有关事项的通知》</w:t>
      </w:r>
      <w:r>
        <w:rPr>
          <w:rFonts w:cs="Times New Roman"/>
          <w:color w:val="000000" w:themeColor="text1"/>
        </w:rPr>
        <w:t>，整合安全生产、防汛抗旱、地质灾害防治、灾情管理等资源和力量，组建乡镇应急管理</w:t>
      </w:r>
      <w:bookmarkStart w:id="54" w:name="_Hlk121044866"/>
      <w:r>
        <w:rPr>
          <w:rFonts w:cs="Times New Roman"/>
          <w:color w:val="000000" w:themeColor="text1"/>
        </w:rPr>
        <w:t>委员会。</w:t>
      </w:r>
      <w:bookmarkEnd w:id="54"/>
      <w:r>
        <w:rPr>
          <w:rFonts w:cs="Times New Roman"/>
          <w:color w:val="000000" w:themeColor="text1"/>
        </w:rPr>
        <w:t>每个</w:t>
      </w:r>
      <w:r>
        <w:rPr>
          <w:rFonts w:cs="Times New Roman"/>
          <w:color w:val="000000" w:themeColor="text1"/>
          <w:szCs w:val="32"/>
        </w:rPr>
        <w:t>乡镇</w:t>
      </w:r>
      <w:r>
        <w:rPr>
          <w:rFonts w:cs="Times New Roman"/>
          <w:color w:val="000000" w:themeColor="text1"/>
        </w:rPr>
        <w:t>至少配备2名专职应急管理人员，解决一人多岗、人员配备不齐、责任难以落实等问题，在县应急管理局业务指导下，负责辖区应急管理工作。各村（社区）统筹整合现有的洪涝地质灾害群测群防员、灾情信息员、安全生产管理员、消防网格员等资源，实现资源共享、统一登记造册，一体化推进综合性应急管理网格队伍建设。</w:t>
      </w:r>
    </w:p>
    <w:p>
      <w:pPr>
        <w:widowControl/>
        <w:ind w:firstLine="640"/>
        <w:rPr>
          <w:rFonts w:cs="Times New Roman"/>
          <w:color w:val="000000" w:themeColor="text1"/>
          <w:szCs w:val="32"/>
        </w:rPr>
      </w:pPr>
      <w:bookmarkStart w:id="55" w:name="_Hlk104235148"/>
      <w:r>
        <w:rPr>
          <w:rFonts w:cs="Times New Roman"/>
          <w:color w:val="000000" w:themeColor="text1"/>
          <w:szCs w:val="32"/>
        </w:rPr>
        <w:t>加强应急管理制度建设</w:t>
      </w:r>
      <w:bookmarkEnd w:id="55"/>
      <w:r>
        <w:rPr>
          <w:rFonts w:cs="Times New Roman"/>
          <w:color w:val="000000" w:themeColor="text1"/>
          <w:szCs w:val="32"/>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0"/>
        <w:rPr>
          <w:rFonts w:cs="Times New Roman"/>
          <w:color w:val="000000" w:themeColor="text1"/>
          <w:szCs w:val="32"/>
        </w:rPr>
      </w:pPr>
      <w:bookmarkStart w:id="56" w:name="_Hlk104235162"/>
      <w:r>
        <w:rPr>
          <w:rFonts w:cs="Times New Roman"/>
          <w:color w:val="000000" w:themeColor="text1"/>
          <w:szCs w:val="32"/>
        </w:rPr>
        <w:t>完善应急指挥机制</w:t>
      </w:r>
      <w:bookmarkEnd w:id="56"/>
      <w:r>
        <w:rPr>
          <w:rFonts w:cs="Times New Roman"/>
          <w:color w:val="000000" w:themeColor="text1"/>
          <w:szCs w:val="32"/>
        </w:rPr>
        <w:t>。</w:t>
      </w:r>
      <w:r>
        <w:rPr>
          <w:rFonts w:cs="Times New Roman"/>
          <w:color w:val="000000" w:themeColor="text1"/>
        </w:rPr>
        <w:t>建立片区应急指挥组织体系，梳理突发事件应急处置程序，以乡镇为主构建多灾种综合指挥和分灾种牵头指挥，统分结合、密切协同的应急救援指挥体系，对“一主两辅”应急队伍实行联动指挥、联动处置、联动保障；</w:t>
      </w:r>
      <w:r>
        <w:rPr>
          <w:rFonts w:cs="Times New Roman"/>
          <w:color w:val="000000" w:themeColor="text1"/>
          <w:szCs w:val="32"/>
        </w:rPr>
        <w:t>定期召开会议，做到统一指挥、统一调度应急救援队伍，统筹协调灾害事故风险研判、信息共享、协同处置等全过程管理。</w:t>
      </w:r>
    </w:p>
    <w:p>
      <w:pPr>
        <w:widowControl/>
        <w:ind w:firstLine="640"/>
        <w:rPr>
          <w:rFonts w:cs="Times New Roman"/>
          <w:color w:val="000000" w:themeColor="text1"/>
          <w:szCs w:val="32"/>
        </w:rPr>
      </w:pPr>
      <w:bookmarkStart w:id="57" w:name="_Hlk104235175"/>
      <w:r>
        <w:rPr>
          <w:rFonts w:cs="Times New Roman"/>
          <w:color w:val="000000" w:themeColor="text1"/>
          <w:szCs w:val="32"/>
        </w:rPr>
        <w:t>优化协同联动机制</w:t>
      </w:r>
      <w:bookmarkEnd w:id="57"/>
      <w:r>
        <w:rPr>
          <w:rFonts w:cs="Times New Roman"/>
          <w:color w:val="000000" w:themeColor="text1"/>
          <w:szCs w:val="32"/>
        </w:rPr>
        <w:t>。推动片区各乡镇</w:t>
      </w:r>
      <w:bookmarkStart w:id="58" w:name="_Hlk104295383"/>
      <w:r>
        <w:rPr>
          <w:rFonts w:cs="Times New Roman"/>
          <w:color w:val="000000" w:themeColor="text1"/>
          <w:szCs w:val="32"/>
        </w:rPr>
        <w:t>、村（社区）</w:t>
      </w:r>
      <w:bookmarkEnd w:id="58"/>
      <w:r>
        <w:rPr>
          <w:rFonts w:cs="Times New Roman"/>
          <w:color w:val="000000" w:themeColor="text1"/>
          <w:szCs w:val="32"/>
        </w:rPr>
        <w:t>应急队伍联动，强化“一主两辅”联动，加强社会联动，有序引导各类社会救援队伍参与抢险救灾工作；</w:t>
      </w:r>
      <w:r>
        <w:rPr>
          <w:rFonts w:cs="Times New Roman"/>
          <w:color w:val="000000" w:themeColor="text1"/>
        </w:rPr>
        <w:t>强化与</w:t>
      </w:r>
      <w:r>
        <w:rPr>
          <w:rFonts w:cs="Times New Roman"/>
          <w:color w:val="000000" w:themeColor="text1"/>
          <w:szCs w:val="32"/>
        </w:rPr>
        <w:t>驯龙绿色高效粮油发展片区、安岳</w:t>
      </w:r>
      <w:r>
        <w:rPr>
          <w:rFonts w:hint="eastAsia" w:cs="Times New Roman"/>
          <w:color w:val="000000" w:themeColor="text1"/>
          <w:szCs w:val="32"/>
        </w:rPr>
        <w:t>城乡</w:t>
      </w:r>
      <w:r>
        <w:rPr>
          <w:rFonts w:cs="Times New Roman"/>
          <w:color w:val="000000" w:themeColor="text1"/>
          <w:szCs w:val="32"/>
        </w:rPr>
        <w:t>融合发展片区、</w:t>
      </w:r>
      <w:r>
        <w:rPr>
          <w:rFonts w:hint="eastAsia" w:cs="Times New Roman"/>
          <w:color w:val="000000" w:themeColor="text1"/>
          <w:szCs w:val="32"/>
        </w:rPr>
        <w:t>鱼龙山农旅融合</w:t>
      </w:r>
      <w:r>
        <w:rPr>
          <w:rFonts w:cs="Times New Roman"/>
          <w:color w:val="000000" w:themeColor="text1"/>
          <w:szCs w:val="32"/>
        </w:rPr>
        <w:t>发展片区</w:t>
      </w:r>
      <w:r>
        <w:rPr>
          <w:rFonts w:hint="eastAsia" w:cs="Times New Roman"/>
          <w:color w:val="000000" w:themeColor="text1"/>
          <w:szCs w:val="32"/>
        </w:rPr>
        <w:t>、内江市</w:t>
      </w:r>
      <w:r>
        <w:rPr>
          <w:rFonts w:cs="Times New Roman"/>
          <w:color w:val="000000" w:themeColor="text1"/>
          <w:szCs w:val="32"/>
        </w:rPr>
        <w:t>等周边</w:t>
      </w:r>
      <w:r>
        <w:rPr>
          <w:rFonts w:hint="eastAsia" w:cs="Times New Roman"/>
          <w:color w:val="000000" w:themeColor="text1"/>
          <w:szCs w:val="32"/>
        </w:rPr>
        <w:t>市</w:t>
      </w:r>
      <w:r>
        <w:rPr>
          <w:rFonts w:cs="Times New Roman"/>
          <w:color w:val="000000" w:themeColor="text1"/>
          <w:szCs w:val="32"/>
        </w:rPr>
        <w:t>县和县内片区之间联防联控、监</w:t>
      </w:r>
      <w:r>
        <w:rPr>
          <w:rFonts w:cs="Times New Roman"/>
          <w:color w:val="000000" w:themeColor="text1"/>
        </w:rPr>
        <w:t>测预警、信息沟通、技术支持、救援队伍和物资统一调配，形成多层次的应急联动体系</w:t>
      </w:r>
      <w:r>
        <w:rPr>
          <w:rFonts w:cs="Times New Roman"/>
          <w:color w:val="000000" w:themeColor="text1"/>
          <w:szCs w:val="32"/>
        </w:rPr>
        <w:t>等片区之间联防联控、监测预警、信息沟通、技术支持、救援队伍和物资统一调配，推动形成“大应急”工作格局。</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tcPr>
          <w:p>
            <w:pPr>
              <w:ind w:firstLine="0" w:firstLineChars="0"/>
              <w:jc w:val="center"/>
              <w:rPr>
                <w:rFonts w:cs="Times New Roman"/>
                <w:b/>
                <w:color w:val="000000" w:themeColor="text1"/>
                <w:szCs w:val="32"/>
              </w:rPr>
            </w:pPr>
            <w:bookmarkStart w:id="59" w:name="_Hlk104235223"/>
            <w:r>
              <w:rPr>
                <w:rFonts w:cs="Times New Roman"/>
                <w:b/>
                <w:color w:val="000000" w:themeColor="text1"/>
                <w:szCs w:val="32"/>
              </w:rPr>
              <w:t>专栏1 应急管理重点工程</w:t>
            </w:r>
          </w:p>
          <w:bookmarkEnd w:id="59"/>
          <w:p>
            <w:pPr>
              <w:ind w:firstLine="640"/>
              <w:rPr>
                <w:rFonts w:cs="Times New Roman"/>
                <w:color w:val="000000" w:themeColor="text1"/>
                <w:szCs w:val="32"/>
              </w:rPr>
            </w:pPr>
            <w:r>
              <w:rPr>
                <w:rFonts w:cs="Times New Roman"/>
                <w:color w:val="000000" w:themeColor="text1"/>
                <w:szCs w:val="32"/>
              </w:rPr>
              <w:t>1.应急管理人员业务技能提升重点工程</w:t>
            </w:r>
          </w:p>
          <w:p>
            <w:pPr>
              <w:ind w:firstLine="640"/>
              <w:rPr>
                <w:rFonts w:cs="Times New Roman"/>
                <w:color w:val="000000" w:themeColor="text1"/>
                <w:szCs w:val="32"/>
              </w:rPr>
            </w:pPr>
            <w:r>
              <w:rPr>
                <w:rFonts w:cs="Times New Roman"/>
                <w:color w:val="000000" w:themeColor="text1"/>
                <w:szCs w:val="32"/>
              </w:rPr>
              <w:t>建设内容：（1）人员培训：完善应急管理人员培训机制，专业人员季度轮训覆盖100%，人均季度培训不少于1次，完善专业人员考核绩效体系，推动半专业人员直管单位建立安全生产培训考核标准。（2）专业能力：具有安全生产相关专业学历或实践经验的人员占比不低于在职人员的50%。（3）聘请专家培训安全管理人员的专业知识（包括安全工程、化工、机电、电气仪表等），提升基层安全监管能力。照标准采购信息化执法设备，提高执法装备配备率。</w:t>
            </w:r>
          </w:p>
          <w:p>
            <w:pPr>
              <w:ind w:firstLine="640"/>
              <w:rPr>
                <w:rFonts w:cs="Times New Roman"/>
                <w:color w:val="000000" w:themeColor="text1"/>
                <w:szCs w:val="32"/>
              </w:rPr>
            </w:pPr>
            <w:r>
              <w:rPr>
                <w:rFonts w:cs="Times New Roman"/>
                <w:color w:val="000000" w:themeColor="text1"/>
                <w:szCs w:val="32"/>
              </w:rPr>
              <w:t>建设地点：</w:t>
            </w:r>
            <w:r>
              <w:rPr>
                <w:rFonts w:hint="eastAsia" w:cs="Times New Roman"/>
                <w:color w:val="000000" w:themeColor="text1"/>
              </w:rPr>
              <w:t>周礼镇</w:t>
            </w:r>
            <w:r>
              <w:rPr>
                <w:rFonts w:cs="Times New Roman"/>
                <w:color w:val="000000" w:themeColor="text1"/>
              </w:rPr>
              <w:t>、</w:t>
            </w:r>
            <w:r>
              <w:rPr>
                <w:rFonts w:hint="eastAsia" w:cs="Times New Roman"/>
                <w:color w:val="000000" w:themeColor="text1"/>
              </w:rPr>
              <w:t>镇子镇</w:t>
            </w:r>
            <w:r>
              <w:rPr>
                <w:rFonts w:cs="Times New Roman"/>
                <w:color w:val="000000" w:themeColor="text1"/>
              </w:rPr>
              <w:t>、</w:t>
            </w:r>
            <w:r>
              <w:rPr>
                <w:rFonts w:hint="eastAsia" w:cs="Times New Roman"/>
                <w:color w:val="000000" w:themeColor="text1"/>
              </w:rPr>
              <w:t>大平镇</w:t>
            </w:r>
            <w:r>
              <w:rPr>
                <w:rFonts w:cs="Times New Roman"/>
                <w:color w:val="000000" w:themeColor="text1"/>
              </w:rPr>
              <w:t>、</w:t>
            </w:r>
            <w:r>
              <w:rPr>
                <w:rFonts w:hint="eastAsia" w:cs="Times New Roman"/>
                <w:color w:val="000000" w:themeColor="text1"/>
              </w:rPr>
              <w:t>南薰镇</w:t>
            </w:r>
            <w:r>
              <w:rPr>
                <w:rFonts w:cs="Times New Roman"/>
                <w:color w:val="000000" w:themeColor="text1"/>
              </w:rPr>
              <w:t>、</w:t>
            </w:r>
            <w:r>
              <w:rPr>
                <w:rFonts w:hint="eastAsia" w:cs="Times New Roman"/>
                <w:color w:val="000000" w:themeColor="text1"/>
              </w:rPr>
              <w:t>千佛乡</w:t>
            </w:r>
            <w:r>
              <w:rPr>
                <w:rFonts w:cs="Times New Roman"/>
                <w:color w:val="000000" w:themeColor="text1"/>
              </w:rPr>
              <w:t>、</w:t>
            </w:r>
            <w:r>
              <w:rPr>
                <w:rFonts w:hint="eastAsia" w:cs="Times New Roman"/>
                <w:color w:val="000000" w:themeColor="text1"/>
              </w:rPr>
              <w:t>拱桥乡</w:t>
            </w:r>
          </w:p>
          <w:p>
            <w:pPr>
              <w:ind w:firstLine="640"/>
              <w:rPr>
                <w:rFonts w:cs="Times New Roman"/>
                <w:color w:val="000000" w:themeColor="text1"/>
              </w:rPr>
            </w:pPr>
            <w:r>
              <w:rPr>
                <w:rFonts w:cs="Times New Roman"/>
                <w:color w:val="000000" w:themeColor="text1"/>
                <w:szCs w:val="32"/>
              </w:rPr>
              <w:t>责任单位：</w:t>
            </w:r>
            <w:r>
              <w:rPr>
                <w:rFonts w:hint="eastAsia" w:cs="Times New Roman"/>
                <w:color w:val="000000" w:themeColor="text1"/>
                <w:szCs w:val="32"/>
              </w:rPr>
              <w:t>安岳县</w:t>
            </w:r>
            <w:r>
              <w:rPr>
                <w:rFonts w:cs="Times New Roman"/>
                <w:color w:val="000000" w:themeColor="text1"/>
                <w:szCs w:val="32"/>
              </w:rPr>
              <w:t>应急管理局、</w:t>
            </w:r>
            <w:r>
              <w:rPr>
                <w:rFonts w:hint="eastAsia" w:cs="Times New Roman"/>
                <w:color w:val="000000" w:themeColor="text1"/>
                <w:szCs w:val="32"/>
              </w:rPr>
              <w:t>各</w:t>
            </w:r>
            <w:r>
              <w:rPr>
                <w:rFonts w:cs="Times New Roman"/>
                <w:color w:val="000000" w:themeColor="text1"/>
                <w:szCs w:val="32"/>
              </w:rPr>
              <w:t>乡镇人民政府完成时限：2021年—2035年。资金估算54万/年。</w:t>
            </w:r>
          </w:p>
        </w:tc>
      </w:tr>
    </w:tbl>
    <w:p>
      <w:pPr>
        <w:pStyle w:val="4"/>
        <w:rPr>
          <w:rFonts w:cs="Times New Roman"/>
          <w:color w:val="000000" w:themeColor="text1"/>
        </w:rPr>
      </w:pPr>
      <w:bookmarkStart w:id="60" w:name="_Toc98773637"/>
      <w:bookmarkStart w:id="61" w:name="_Toc20977"/>
      <w:r>
        <w:rPr>
          <w:rFonts w:cs="Times New Roman"/>
          <w:color w:val="000000" w:themeColor="text1"/>
        </w:rPr>
        <w:t xml:space="preserve">第二节  </w:t>
      </w:r>
      <w:bookmarkEnd w:id="60"/>
      <w:r>
        <w:rPr>
          <w:rFonts w:cs="Times New Roman"/>
          <w:color w:val="000000" w:themeColor="text1"/>
        </w:rPr>
        <w:t>提高安全生产防治水平</w:t>
      </w:r>
      <w:bookmarkEnd w:id="61"/>
    </w:p>
    <w:p>
      <w:pPr>
        <w:ind w:firstLine="640"/>
        <w:rPr>
          <w:rFonts w:cs="Times New Roman"/>
          <w:color w:val="000000" w:themeColor="text1"/>
          <w:szCs w:val="32"/>
        </w:rPr>
      </w:pPr>
      <w:bookmarkStart w:id="62" w:name="_Hlk104235774"/>
      <w:r>
        <w:rPr>
          <w:rFonts w:cs="Times New Roman"/>
          <w:color w:val="000000" w:themeColor="text1"/>
          <w:szCs w:val="32"/>
        </w:rPr>
        <w:t>监管监察能力建设</w:t>
      </w:r>
      <w:bookmarkEnd w:id="62"/>
      <w:r>
        <w:rPr>
          <w:rFonts w:cs="Times New Roman"/>
          <w:color w:val="000000" w:themeColor="text1"/>
          <w:szCs w:val="32"/>
        </w:rPr>
        <w:t>。</w:t>
      </w:r>
      <w:r>
        <w:rPr>
          <w:rFonts w:cs="Times New Roman"/>
          <w:color w:val="000000" w:themeColor="text1"/>
        </w:rPr>
        <w:t>结合片区经济发展规模、产业分布、企业情况、安全风险分布等特点，通过政府购买服务，聘请第三方专业机构和专家开展应急管理工作，加强应急管理工作能效。依托县级组织的各类安全监管人员培训，按照“走出去、请进来” 等模式，对片区内各级领导干部及安全监管队伍开展专业知识、应急救援实战、心理素质等方面的培训，打造安全监管 “铁军”，提升安全监管队伍整体水平。培养一批理论水平高、实战能力强、综合素质高的安全监管人员</w:t>
      </w:r>
      <w:r>
        <w:rPr>
          <w:rFonts w:cs="Times New Roman"/>
          <w:color w:val="000000" w:themeColor="text1"/>
          <w:szCs w:val="32"/>
        </w:rPr>
        <w:t>。</w:t>
      </w:r>
    </w:p>
    <w:p>
      <w:pPr>
        <w:ind w:firstLine="640"/>
        <w:rPr>
          <w:rFonts w:cs="Times New Roman"/>
          <w:b/>
          <w:bCs/>
          <w:color w:val="000000" w:themeColor="text1"/>
          <w:szCs w:val="32"/>
        </w:rPr>
      </w:pPr>
      <w:bookmarkStart w:id="63" w:name="_Hlk104235786"/>
      <w:r>
        <w:rPr>
          <w:rFonts w:cs="Times New Roman"/>
          <w:color w:val="000000" w:themeColor="text1"/>
          <w:szCs w:val="32"/>
        </w:rPr>
        <w:t>加强源头管控</w:t>
      </w:r>
      <w:bookmarkEnd w:id="63"/>
      <w:r>
        <w:rPr>
          <w:rFonts w:cs="Times New Roman"/>
          <w:color w:val="000000" w:themeColor="text1"/>
          <w:szCs w:val="32"/>
        </w:rPr>
        <w:t>。</w:t>
      </w:r>
      <w:bookmarkStart w:id="64" w:name="_Hlk105969067"/>
      <w:r>
        <w:rPr>
          <w:rFonts w:cs="Times New Roman"/>
          <w:color w:val="000000" w:themeColor="text1"/>
        </w:rPr>
        <w:t>按照省、市、县关于相关投资项目投资强度、“禁限控”目录等硬性指标要求，执行安全准入各项规定。严格落实建设项目安全设施“三同时”制度</w:t>
      </w:r>
      <w:bookmarkEnd w:id="64"/>
      <w:r>
        <w:rPr>
          <w:rFonts w:cs="Times New Roman"/>
          <w:color w:val="000000" w:themeColor="text1"/>
        </w:rPr>
        <w:t>；</w:t>
      </w:r>
      <w:r>
        <w:rPr>
          <w:rFonts w:cs="Times New Roman"/>
          <w:color w:val="000000" w:themeColor="text1"/>
          <w:szCs w:val="32"/>
        </w:rPr>
        <w:t>建立特殊场所安全管控制度；加强各行业部门间培训资源和专家库共享，加强行业安全管理队伍建设，推动重点行业领域充实其安全管理人员。加强企业开展“三项岗位人员”和企业三级安全教育培训，全面提升高危行业企业主要负责人、安全管理人员及特种作业人员的安全素养和安全操作技能。扎实推进安全生产责任保险，进一步提升了企业安全风险防控能力。</w:t>
      </w:r>
    </w:p>
    <w:p>
      <w:pPr>
        <w:ind w:firstLine="640"/>
        <w:rPr>
          <w:rFonts w:cs="Times New Roman"/>
          <w:color w:val="000000" w:themeColor="text1"/>
          <w:szCs w:val="32"/>
        </w:rPr>
      </w:pPr>
      <w:bookmarkStart w:id="65" w:name="_Hlk104235800"/>
      <w:r>
        <w:rPr>
          <w:rFonts w:cs="Times New Roman"/>
          <w:color w:val="000000" w:themeColor="text1"/>
          <w:szCs w:val="32"/>
        </w:rPr>
        <w:t>强化风险监测</w:t>
      </w:r>
      <w:bookmarkEnd w:id="65"/>
      <w:r>
        <w:rPr>
          <w:rFonts w:cs="Times New Roman"/>
          <w:color w:val="000000" w:themeColor="text1"/>
          <w:szCs w:val="32"/>
        </w:rPr>
        <w:t>。在人员密集场所、天然气开采、</w:t>
      </w:r>
      <w:bookmarkStart w:id="66" w:name="_Hlk121045454"/>
      <w:r>
        <w:rPr>
          <w:rFonts w:cs="Times New Roman"/>
          <w:color w:val="000000" w:themeColor="text1"/>
          <w:szCs w:val="32"/>
        </w:rPr>
        <w:t>输送、特种设备</w:t>
      </w:r>
      <w:r>
        <w:rPr>
          <w:rFonts w:hint="eastAsia" w:cs="Times New Roman"/>
          <w:color w:val="000000" w:themeColor="text1"/>
          <w:szCs w:val="32"/>
        </w:rPr>
        <w:t>、工业园、受限空间、高空作业</w:t>
      </w:r>
      <w:r>
        <w:rPr>
          <w:rFonts w:cs="Times New Roman"/>
          <w:color w:val="000000" w:themeColor="text1"/>
        </w:rPr>
        <w:t>等</w:t>
      </w:r>
      <w:r>
        <w:rPr>
          <w:rFonts w:cs="Times New Roman"/>
          <w:color w:val="000000" w:themeColor="text1"/>
          <w:szCs w:val="32"/>
        </w:rPr>
        <w:t>重点安全风险领域设置风险告知牌和警示标识</w:t>
      </w:r>
      <w:bookmarkEnd w:id="66"/>
      <w:r>
        <w:rPr>
          <w:rFonts w:cs="Times New Roman"/>
          <w:color w:val="000000" w:themeColor="text1"/>
          <w:szCs w:val="32"/>
        </w:rPr>
        <w:t>。结合“工业互联网+安全生产”行动计划，推动企业双重预防机制数字化建设；完善感知、网络、安全等基础设施建设，实现安全风险态势评估、动态监测和分级预警。</w:t>
      </w:r>
    </w:p>
    <w:p>
      <w:pPr>
        <w:widowControl/>
        <w:ind w:firstLine="640"/>
        <w:rPr>
          <w:rFonts w:cs="Times New Roman"/>
          <w:color w:val="000000" w:themeColor="text1"/>
          <w:szCs w:val="32"/>
        </w:rPr>
      </w:pPr>
      <w:bookmarkStart w:id="67" w:name="_Hlk104235813"/>
      <w:r>
        <w:rPr>
          <w:rFonts w:cs="Times New Roman"/>
          <w:color w:val="000000" w:themeColor="text1"/>
          <w:szCs w:val="32"/>
        </w:rPr>
        <w:t>强化企业主体责任</w:t>
      </w:r>
      <w:bookmarkEnd w:id="67"/>
      <w:r>
        <w:rPr>
          <w:rFonts w:cs="Times New Roman"/>
          <w:color w:val="000000" w:themeColor="text1"/>
          <w:szCs w:val="32"/>
        </w:rPr>
        <w:t>。建立企业主要负责人安全承诺和安全生产责任考核机制，加强规章制度建设，建立对负责人约谈、警示制度，推动企业定期开展安全风险评估和危害辨识，针对高危设备、物品、场所和岗位等，加强动态分级管理，落实风险防控措施，实现可防可控，各类企业建立完善的安全风险防控体系。建立完善隐患排查治理体系，督促企业落实安全生产投入。持续推进企业清单制管理、安全生产标准化建设，实现安全管理、操作行为、设备设施和作业环境。</w:t>
      </w:r>
    </w:p>
    <w:p>
      <w:pPr>
        <w:widowControl/>
        <w:ind w:firstLine="640"/>
        <w:rPr>
          <w:rFonts w:cs="Times New Roman"/>
          <w:color w:val="000000" w:themeColor="text1"/>
          <w:szCs w:val="32"/>
        </w:rPr>
      </w:pPr>
      <w:bookmarkStart w:id="68" w:name="_Hlk104235828"/>
      <w:r>
        <w:rPr>
          <w:rFonts w:cs="Times New Roman"/>
          <w:color w:val="000000" w:themeColor="text1"/>
          <w:szCs w:val="32"/>
        </w:rPr>
        <w:t>巩固提升安全生产专项整治成果</w:t>
      </w:r>
      <w:bookmarkEnd w:id="68"/>
      <w:r>
        <w:rPr>
          <w:rFonts w:cs="Times New Roman"/>
          <w:color w:val="000000" w:themeColor="text1"/>
          <w:szCs w:val="32"/>
        </w:rPr>
        <w:t>。以清单制管理为抓手，结合安全生产“打非治违”专项行动，持续重点整治非煤矿山、有限空间作业重点环节、油气开采、建筑施工标准化工地、消防安全、特种设备等重点行业（领域）、道路交通“两客一危一货”等行业领域，依法严肃查处安全生产主体责任落实不到位的生产经营单位。进一步提升基础支撑保障能力，定期开展安全教育培训，加强各行业部门间培训资源和专家库共享，加强行业安全管理队伍建设，推动重点行业领域充实其安全管理人员，提高整体安全管理水平。</w:t>
      </w:r>
    </w:p>
    <w:tbl>
      <w:tblPr>
        <w:tblStyle w:val="2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26" w:type="dxa"/>
          </w:tcPr>
          <w:p>
            <w:pPr>
              <w:ind w:firstLine="0" w:firstLineChars="0"/>
              <w:jc w:val="center"/>
              <w:rPr>
                <w:rFonts w:cs="Times New Roman"/>
                <w:color w:val="000000" w:themeColor="text1"/>
                <w:szCs w:val="32"/>
              </w:rPr>
            </w:pPr>
            <w:bookmarkStart w:id="69" w:name="_Hlk104235870"/>
            <w:r>
              <w:rPr>
                <w:rFonts w:cs="Times New Roman"/>
                <w:color w:val="000000" w:themeColor="text1"/>
                <w:szCs w:val="32"/>
              </w:rPr>
              <w:t>专栏2：安全生产风险防控重点工程</w:t>
            </w:r>
          </w:p>
          <w:bookmarkEnd w:id="69"/>
          <w:p>
            <w:pPr>
              <w:widowControl/>
              <w:ind w:firstLine="640"/>
              <w:jc w:val="left"/>
              <w:rPr>
                <w:rFonts w:cs="Times New Roman"/>
                <w:color w:val="000000" w:themeColor="text1"/>
                <w:szCs w:val="32"/>
              </w:rPr>
            </w:pPr>
            <w:r>
              <w:rPr>
                <w:rFonts w:cs="Times New Roman"/>
                <w:color w:val="000000" w:themeColor="text1"/>
                <w:szCs w:val="32"/>
              </w:rPr>
              <w:t>1.双重预防机制数字化建设</w:t>
            </w:r>
          </w:p>
          <w:p>
            <w:pPr>
              <w:widowControl/>
              <w:ind w:firstLine="640"/>
              <w:rPr>
                <w:rFonts w:cs="Times New Roman"/>
                <w:color w:val="000000" w:themeColor="text1"/>
                <w:szCs w:val="32"/>
              </w:rPr>
            </w:pPr>
            <w:r>
              <w:rPr>
                <w:rFonts w:cs="Times New Roman"/>
                <w:color w:val="000000" w:themeColor="text1"/>
                <w:szCs w:val="32"/>
              </w:rPr>
              <w:t>建设内容：开发或改造双重预防机制信息化系统，包含电脑管理端和移动APP端。电脑管理端具备动态监控安全风险管控措施落实、隐患排查任务推送、隐患排查治理情况跟踪监督、机制运行效果评估、异常状态自动预警及考核奖惩等功能；移动 APP端具备隐患排查任务和预警信息接收、现场隐患排查情况实时上报、隐患治理全程跟踪等功能，与政府端数据互联互通。</w:t>
            </w:r>
          </w:p>
          <w:p>
            <w:pPr>
              <w:ind w:firstLine="640"/>
              <w:rPr>
                <w:rFonts w:cs="Times New Roman"/>
                <w:color w:val="000000" w:themeColor="text1"/>
                <w:szCs w:val="32"/>
              </w:rPr>
            </w:pPr>
            <w:r>
              <w:rPr>
                <w:rFonts w:cs="Times New Roman"/>
                <w:color w:val="000000" w:themeColor="text1"/>
                <w:szCs w:val="32"/>
              </w:rPr>
              <w:t>建设地点：</w:t>
            </w:r>
            <w:r>
              <w:rPr>
                <w:rFonts w:hint="eastAsia" w:cs="Times New Roman"/>
                <w:color w:val="000000" w:themeColor="text1"/>
                <w:szCs w:val="32"/>
              </w:rPr>
              <w:t>安岳县</w:t>
            </w:r>
            <w:r>
              <w:rPr>
                <w:rFonts w:cs="Times New Roman"/>
                <w:color w:val="000000" w:themeColor="text1"/>
                <w:szCs w:val="32"/>
              </w:rPr>
              <w:t>应急管理局。</w:t>
            </w:r>
          </w:p>
          <w:p>
            <w:pPr>
              <w:ind w:firstLine="640"/>
              <w:rPr>
                <w:rFonts w:cs="Times New Roman"/>
                <w:color w:val="000000" w:themeColor="text1"/>
                <w:szCs w:val="32"/>
              </w:rPr>
            </w:pPr>
            <w:r>
              <w:rPr>
                <w:rFonts w:cs="Times New Roman"/>
                <w:color w:val="000000" w:themeColor="text1"/>
                <w:szCs w:val="32"/>
              </w:rPr>
              <w:t>建设单位：</w:t>
            </w:r>
            <w:r>
              <w:rPr>
                <w:rFonts w:hint="eastAsia" w:cs="Times New Roman"/>
                <w:color w:val="000000" w:themeColor="text1"/>
                <w:szCs w:val="32"/>
              </w:rPr>
              <w:t>安岳县</w:t>
            </w:r>
            <w:r>
              <w:rPr>
                <w:rFonts w:cs="Times New Roman"/>
                <w:color w:val="000000" w:themeColor="text1"/>
                <w:szCs w:val="32"/>
              </w:rPr>
              <w:t>应急管理局、乡镇人民政府、各重点企业。资金估算70万元。完成期限：2030年。</w:t>
            </w:r>
          </w:p>
          <w:p>
            <w:pPr>
              <w:widowControl/>
              <w:ind w:firstLine="640"/>
              <w:jc w:val="left"/>
              <w:rPr>
                <w:rFonts w:cs="Times New Roman"/>
                <w:color w:val="000000" w:themeColor="text1"/>
                <w:szCs w:val="32"/>
              </w:rPr>
            </w:pPr>
            <w:r>
              <w:rPr>
                <w:rFonts w:cs="Times New Roman"/>
                <w:color w:val="000000" w:themeColor="text1"/>
                <w:szCs w:val="32"/>
              </w:rPr>
              <w:t>2.</w:t>
            </w:r>
            <w:r>
              <w:rPr>
                <w:rFonts w:cs="Times New Roman"/>
                <w:color w:val="000000" w:themeColor="text1"/>
              </w:rPr>
              <w:t>安全生产风险监测预警工程</w:t>
            </w:r>
            <w:r>
              <w:rPr>
                <w:rFonts w:cs="Times New Roman"/>
                <w:color w:val="000000" w:themeColor="text1"/>
                <w:szCs w:val="32"/>
              </w:rPr>
              <w:t>建设</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建设内容：建设集约化、可视化监管平台，在生产企业、景区、人员密集场所设置监控点位和前端感知设备，对人员违规违章行为、监测监控系统异常状态进行智能分析，打破传统的人盯死守模式，实现对人的不安全行为和物的不安全状态的智能预警，有效防范遏制安全生产事故。到2030年，建立安全生产监测预警“一网统管”机制。</w:t>
            </w:r>
          </w:p>
          <w:p>
            <w:pPr>
              <w:ind w:firstLine="640"/>
              <w:rPr>
                <w:rFonts w:cs="Times New Roman"/>
                <w:color w:val="000000" w:themeColor="text1"/>
                <w:szCs w:val="32"/>
              </w:rPr>
            </w:pPr>
            <w:r>
              <w:rPr>
                <w:rFonts w:cs="Times New Roman"/>
                <w:color w:val="000000" w:themeColor="text1"/>
                <w:szCs w:val="32"/>
              </w:rPr>
              <w:t>建设地点：</w:t>
            </w:r>
            <w:r>
              <w:rPr>
                <w:rFonts w:hint="eastAsia" w:cs="Times New Roman"/>
                <w:color w:val="000000" w:themeColor="text1"/>
                <w:szCs w:val="32"/>
              </w:rPr>
              <w:t>安岳县</w:t>
            </w:r>
            <w:r>
              <w:rPr>
                <w:rFonts w:cs="Times New Roman"/>
                <w:color w:val="000000" w:themeColor="text1"/>
                <w:szCs w:val="32"/>
              </w:rPr>
              <w:t>应急管理局。</w:t>
            </w:r>
          </w:p>
          <w:p>
            <w:pPr>
              <w:ind w:firstLine="640"/>
              <w:rPr>
                <w:rFonts w:cs="Times New Roman"/>
                <w:color w:val="000000" w:themeColor="text1"/>
                <w:szCs w:val="32"/>
              </w:rPr>
            </w:pPr>
            <w:r>
              <w:rPr>
                <w:rFonts w:cs="Times New Roman"/>
                <w:color w:val="000000" w:themeColor="text1"/>
                <w:szCs w:val="32"/>
              </w:rPr>
              <w:t>建设单位：</w:t>
            </w:r>
            <w:r>
              <w:rPr>
                <w:rFonts w:hint="eastAsia" w:cs="Times New Roman"/>
                <w:color w:val="000000" w:themeColor="text1"/>
                <w:szCs w:val="32"/>
              </w:rPr>
              <w:t>安岳县</w:t>
            </w:r>
            <w:r>
              <w:rPr>
                <w:rFonts w:cs="Times New Roman"/>
                <w:color w:val="000000" w:themeColor="text1"/>
                <w:szCs w:val="32"/>
              </w:rPr>
              <w:t>应急管理局、乡镇人民政府、各重点企业。资金估算140万元。完成期限：2030年。</w:t>
            </w:r>
          </w:p>
          <w:p>
            <w:pPr>
              <w:ind w:firstLine="640"/>
              <w:rPr>
                <w:rFonts w:cs="Times New Roman"/>
                <w:color w:val="000000" w:themeColor="text1"/>
                <w:szCs w:val="32"/>
              </w:rPr>
            </w:pPr>
            <w:r>
              <w:rPr>
                <w:rFonts w:cs="Times New Roman"/>
                <w:color w:val="000000" w:themeColor="text1"/>
                <w:szCs w:val="32"/>
              </w:rPr>
              <w:t>3.</w:t>
            </w:r>
            <w:r>
              <w:rPr>
                <w:rFonts w:cs="Times New Roman"/>
                <w:color w:val="000000" w:themeColor="text1"/>
              </w:rPr>
              <w:t xml:space="preserve"> </w:t>
            </w:r>
            <w:r>
              <w:rPr>
                <w:rFonts w:cs="Times New Roman"/>
                <w:color w:val="000000" w:themeColor="text1"/>
                <w:szCs w:val="32"/>
              </w:rPr>
              <w:t>安岳采气作业区数字化转型工程（管道）</w:t>
            </w:r>
          </w:p>
          <w:p>
            <w:pPr>
              <w:ind w:firstLine="640"/>
              <w:rPr>
                <w:rFonts w:cs="Times New Roman"/>
                <w:color w:val="000000" w:themeColor="text1"/>
                <w:szCs w:val="32"/>
              </w:rPr>
            </w:pPr>
            <w:r>
              <w:rPr>
                <w:rFonts w:cs="Times New Roman"/>
                <w:color w:val="000000" w:themeColor="text1"/>
                <w:szCs w:val="32"/>
              </w:rPr>
              <w:t>建设内容：建设管道光纤预警系统、管道次声波检测系统、无人机巡检系统、搭建互联网+铁塔视频监控系统。每年对片区内自然灾害隐患点根据危险程度，分别采取排危除险、改管等措施。</w:t>
            </w:r>
          </w:p>
          <w:p>
            <w:pPr>
              <w:ind w:firstLine="640"/>
              <w:rPr>
                <w:rFonts w:cs="Times New Roman"/>
                <w:color w:val="000000" w:themeColor="text1"/>
                <w:szCs w:val="32"/>
              </w:rPr>
            </w:pPr>
            <w:r>
              <w:rPr>
                <w:rFonts w:cs="Times New Roman"/>
                <w:color w:val="000000" w:themeColor="text1"/>
                <w:szCs w:val="32"/>
              </w:rPr>
              <w:t>建设地点：</w:t>
            </w:r>
            <w:r>
              <w:rPr>
                <w:rFonts w:hint="eastAsia" w:cs="Times New Roman"/>
                <w:color w:val="000000" w:themeColor="text1"/>
                <w:szCs w:val="32"/>
              </w:rPr>
              <w:t>安岳县</w:t>
            </w:r>
            <w:r>
              <w:rPr>
                <w:rFonts w:cs="Times New Roman"/>
                <w:color w:val="000000" w:themeColor="text1"/>
                <w:szCs w:val="32"/>
              </w:rPr>
              <w:t>管道沿线</w:t>
            </w:r>
          </w:p>
          <w:p>
            <w:pPr>
              <w:ind w:firstLine="640"/>
              <w:rPr>
                <w:rFonts w:cs="Times New Roman"/>
                <w:color w:val="000000" w:themeColor="text1"/>
                <w:highlight w:val="cyan"/>
              </w:rPr>
            </w:pPr>
            <w:r>
              <w:rPr>
                <w:rFonts w:cs="Times New Roman"/>
                <w:color w:val="000000" w:themeColor="text1"/>
                <w:szCs w:val="32"/>
              </w:rPr>
              <w:t>责任单位：蜀南气矿安岳采气作业区。资金估算每年300万-400万。完成期限：2035年。</w:t>
            </w:r>
            <w:r>
              <w:rPr>
                <w:rFonts w:cs="Times New Roman"/>
                <w:color w:val="000000" w:themeColor="text1"/>
                <w:szCs w:val="32"/>
                <w:lang w:bidi="ar"/>
              </w:rPr>
              <w:t xml:space="preserve"> </w:t>
            </w:r>
          </w:p>
        </w:tc>
      </w:tr>
    </w:tbl>
    <w:p>
      <w:pPr>
        <w:pStyle w:val="4"/>
        <w:rPr>
          <w:rFonts w:cs="Times New Roman"/>
          <w:color w:val="000000" w:themeColor="text1"/>
        </w:rPr>
      </w:pPr>
      <w:bookmarkStart w:id="70" w:name="_Toc98773642"/>
      <w:bookmarkStart w:id="71" w:name="_Toc20985"/>
      <w:r>
        <w:rPr>
          <w:rFonts w:cs="Times New Roman"/>
          <w:color w:val="000000" w:themeColor="text1"/>
        </w:rPr>
        <w:t xml:space="preserve">第三节  </w:t>
      </w:r>
      <w:bookmarkEnd w:id="70"/>
      <w:r>
        <w:rPr>
          <w:rFonts w:cs="Times New Roman"/>
          <w:color w:val="000000" w:themeColor="text1"/>
        </w:rPr>
        <w:t>增强自然灾害防御能力</w:t>
      </w:r>
      <w:bookmarkEnd w:id="71"/>
    </w:p>
    <w:p>
      <w:pPr>
        <w:ind w:firstLine="640"/>
        <w:rPr>
          <w:rFonts w:cs="Times New Roman"/>
          <w:color w:val="000000" w:themeColor="text1"/>
          <w:szCs w:val="32"/>
        </w:rPr>
      </w:pPr>
      <w:bookmarkStart w:id="72" w:name="_Hlk104235995"/>
      <w:r>
        <w:rPr>
          <w:rFonts w:cs="Times New Roman"/>
          <w:color w:val="000000" w:themeColor="text1"/>
          <w:szCs w:val="32"/>
          <w:lang w:bidi="ar"/>
        </w:rPr>
        <w:t>洪涝灾害</w:t>
      </w:r>
      <w:bookmarkEnd w:id="72"/>
      <w:r>
        <w:rPr>
          <w:rFonts w:cs="Times New Roman"/>
          <w:color w:val="000000" w:themeColor="text1"/>
          <w:szCs w:val="32"/>
        </w:rPr>
        <w:t>。</w:t>
      </w:r>
      <w:bookmarkStart w:id="73" w:name="_Hlk105053422"/>
      <w:r>
        <w:rPr>
          <w:rFonts w:cs="Times New Roman"/>
          <w:color w:val="000000" w:themeColor="text1"/>
          <w:szCs w:val="32"/>
        </w:rPr>
        <w:t>与气象、水务、地质等</w:t>
      </w:r>
      <w:r>
        <w:rPr>
          <w:rFonts w:cs="Times New Roman"/>
          <w:color w:val="000000" w:themeColor="text1"/>
        </w:rPr>
        <w:t>信息融合，通过人工巡查，做出预警预报。</w:t>
      </w:r>
      <w:bookmarkEnd w:id="73"/>
      <w:r>
        <w:rPr>
          <w:rFonts w:cs="Times New Roman"/>
          <w:color w:val="000000" w:themeColor="text1"/>
          <w:szCs w:val="32"/>
        </w:rPr>
        <w:t>升级改造洪涝灾害防治非工程措施设备设施，建立洪涝灾害危险区动态管理。提高沿河村镇、重要基础设施防洪标准，开展</w:t>
      </w:r>
      <w:r>
        <w:rPr>
          <w:rFonts w:hint="eastAsia" w:cs="Times New Roman"/>
          <w:color w:val="000000" w:themeColor="text1"/>
          <w:szCs w:val="32"/>
        </w:rPr>
        <w:t>报花厅水库、阮家桥水库、李氏祠水库、水对沟水库</w:t>
      </w:r>
      <w:r>
        <w:rPr>
          <w:rFonts w:cs="Times New Roman"/>
          <w:color w:val="000000" w:themeColor="text1"/>
          <w:szCs w:val="32"/>
        </w:rPr>
        <w:t>大坝</w:t>
      </w:r>
      <w:r>
        <w:rPr>
          <w:rFonts w:hint="eastAsia" w:cs="Times New Roman"/>
          <w:color w:val="000000" w:themeColor="text1"/>
          <w:szCs w:val="32"/>
        </w:rPr>
        <w:t>除险加固工程</w:t>
      </w:r>
      <w:r>
        <w:rPr>
          <w:rFonts w:cs="Times New Roman"/>
          <w:color w:val="000000" w:themeColor="text1"/>
        </w:rPr>
        <w:t>，</w:t>
      </w:r>
      <w:r>
        <w:rPr>
          <w:szCs w:val="32"/>
        </w:rPr>
        <w:t>中心镇按 20 年一遇防洪标准设防，一般镇按 10 年一遇防洪标准设防，其余地区及设施严格遵守《防洪标准》（GB50201-2014） 的相关规定</w:t>
      </w:r>
      <w:r>
        <w:rPr>
          <w:rFonts w:hint="eastAsia"/>
          <w:szCs w:val="32"/>
        </w:rPr>
        <w:t>执行</w:t>
      </w:r>
      <w:r>
        <w:rPr>
          <w:rFonts w:cs="Times New Roman"/>
          <w:color w:val="000000" w:themeColor="text1"/>
          <w:szCs w:val="32"/>
        </w:rPr>
        <w:t>。</w:t>
      </w:r>
    </w:p>
    <w:p>
      <w:pPr>
        <w:ind w:firstLine="640"/>
        <w:rPr>
          <w:rFonts w:cs="Times New Roman"/>
          <w:color w:val="000000" w:themeColor="text1"/>
          <w:szCs w:val="32"/>
        </w:rPr>
      </w:pPr>
      <w:bookmarkStart w:id="74" w:name="_Hlk104236006"/>
      <w:bookmarkStart w:id="75" w:name="_Hlk105053288"/>
      <w:r>
        <w:rPr>
          <w:rFonts w:cs="Times New Roman"/>
          <w:color w:val="000000" w:themeColor="text1"/>
          <w:szCs w:val="32"/>
          <w:lang w:bidi="ar"/>
        </w:rPr>
        <w:t>地质灾害</w:t>
      </w:r>
      <w:bookmarkEnd w:id="74"/>
      <w:r>
        <w:rPr>
          <w:rFonts w:cs="Times New Roman"/>
          <w:color w:val="000000" w:themeColor="text1"/>
          <w:szCs w:val="32"/>
          <w:lang w:bidi="ar"/>
        </w:rPr>
        <w:t>。</w:t>
      </w:r>
      <w:r>
        <w:rPr>
          <w:rFonts w:cs="Times New Roman"/>
          <w:color w:val="000000" w:themeColor="text1"/>
          <w:szCs w:val="32"/>
        </w:rPr>
        <w:t>强化灾害防控系统建设，进一步夯实群测群防基础；在发生滑坡、崩塌引起道路不畅的情况下充分运用无人机、卫星遥感等高科技防灾设备和防灾手段，不断提升地质灾害监测预警科技水平。在地质灾害隐患点开展工程治理，威胁人口50人以上的地质灾害点实施避让搬迁。</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森林火灾。建立森林监测监控体系和扑救体系，并通过人工巡查，对森林火灾做出预警预报。</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bCs/>
          <w:color w:val="000000" w:themeColor="text1"/>
          <w:sz w:val="32"/>
          <w:szCs w:val="32"/>
        </w:rPr>
        <w:t>应急基地建设。</w:t>
      </w:r>
      <w:r>
        <w:rPr>
          <w:rFonts w:ascii="Times New Roman" w:hAnsi="Times New Roman" w:eastAsia="仿宋" w:cs="Times New Roman"/>
          <w:color w:val="000000" w:themeColor="text1"/>
          <w:sz w:val="32"/>
          <w:szCs w:val="32"/>
        </w:rPr>
        <w:t>聚焦片区面临的主要风险，新建</w:t>
      </w:r>
      <w:r>
        <w:rPr>
          <w:rFonts w:ascii="Times New Roman" w:hAnsi="Times New Roman" w:eastAsia="仿宋" w:cs="Times New Roman"/>
          <w:bCs/>
          <w:color w:val="000000" w:themeColor="text1"/>
          <w:sz w:val="32"/>
          <w:szCs w:val="32"/>
        </w:rPr>
        <w:t>应急基地</w:t>
      </w:r>
      <w:r>
        <w:rPr>
          <w:rFonts w:ascii="Times New Roman" w:hAnsi="Times New Roman" w:eastAsia="仿宋" w:cs="Times New Roman"/>
          <w:color w:val="000000" w:themeColor="text1"/>
          <w:sz w:val="32"/>
          <w:szCs w:val="32"/>
        </w:rPr>
        <w:t>，结合闲置资产、充分利用原</w:t>
      </w:r>
      <w:r>
        <w:rPr>
          <w:rFonts w:hint="eastAsia" w:ascii="Times New Roman" w:hAnsi="Times New Roman" w:eastAsia="仿宋" w:cs="Times New Roman"/>
          <w:color w:val="000000" w:themeColor="text1"/>
          <w:sz w:val="32"/>
          <w:szCs w:val="32"/>
        </w:rPr>
        <w:t>周礼镇玉顶村小学</w:t>
      </w:r>
      <w:r>
        <w:rPr>
          <w:rFonts w:ascii="Times New Roman" w:hAnsi="Times New Roman" w:eastAsia="仿宋" w:cs="Times New Roman"/>
          <w:color w:val="000000" w:themeColor="text1"/>
          <w:sz w:val="32"/>
          <w:szCs w:val="32"/>
        </w:rPr>
        <w:t>、</w:t>
      </w:r>
      <w:r>
        <w:rPr>
          <w:rFonts w:hint="eastAsia" w:ascii="Times New Roman" w:hAnsi="Times New Roman" w:eastAsia="仿宋" w:cs="Times New Roman"/>
          <w:color w:val="000000" w:themeColor="text1"/>
          <w:sz w:val="32"/>
          <w:szCs w:val="32"/>
        </w:rPr>
        <w:t>现有镇子镇政府广场</w:t>
      </w:r>
      <w:r>
        <w:rPr>
          <w:rFonts w:ascii="Times New Roman" w:hAnsi="Times New Roman" w:eastAsia="仿宋" w:cs="Times New Roman"/>
          <w:color w:val="000000" w:themeColor="text1"/>
          <w:sz w:val="32"/>
          <w:szCs w:val="32"/>
        </w:rPr>
        <w:t>、</w:t>
      </w:r>
      <w:r>
        <w:rPr>
          <w:rFonts w:hint="eastAsia" w:ascii="Times New Roman" w:hAnsi="Times New Roman" w:eastAsia="仿宋" w:cs="Times New Roman"/>
          <w:color w:val="000000" w:themeColor="text1"/>
          <w:sz w:val="32"/>
          <w:szCs w:val="32"/>
        </w:rPr>
        <w:t>共建大平镇九义校</w:t>
      </w:r>
      <w:r>
        <w:rPr>
          <w:rFonts w:ascii="Times New Roman" w:hAnsi="Times New Roman" w:eastAsia="仿宋" w:cs="Times New Roman"/>
          <w:color w:val="000000" w:themeColor="text1"/>
          <w:sz w:val="32"/>
          <w:szCs w:val="32"/>
        </w:rPr>
        <w:t>、</w:t>
      </w:r>
      <w:r>
        <w:rPr>
          <w:rFonts w:hint="eastAsia" w:ascii="Times New Roman" w:hAnsi="Times New Roman" w:eastAsia="仿宋" w:cs="Times New Roman"/>
          <w:color w:val="000000" w:themeColor="text1"/>
          <w:sz w:val="32"/>
          <w:szCs w:val="32"/>
        </w:rPr>
        <w:t>新建千佛乡</w:t>
      </w:r>
      <w:r>
        <w:rPr>
          <w:rFonts w:ascii="Times New Roman" w:hAnsi="Times New Roman" w:eastAsia="仿宋" w:cs="Times New Roman"/>
          <w:color w:val="000000" w:themeColor="text1"/>
          <w:sz w:val="32"/>
          <w:szCs w:val="32"/>
        </w:rPr>
        <w:t>龙佛街6号、</w:t>
      </w:r>
      <w:r>
        <w:rPr>
          <w:rFonts w:hint="eastAsia" w:ascii="Times New Roman" w:hAnsi="Times New Roman" w:eastAsia="仿宋" w:cs="Times New Roman"/>
          <w:color w:val="000000" w:themeColor="text1"/>
          <w:sz w:val="32"/>
          <w:szCs w:val="32"/>
        </w:rPr>
        <w:t>新建</w:t>
      </w:r>
      <w:r>
        <w:rPr>
          <w:rFonts w:ascii="Times New Roman" w:hAnsi="Times New Roman" w:eastAsia="仿宋" w:cs="Times New Roman"/>
          <w:color w:val="000000" w:themeColor="text1"/>
          <w:sz w:val="32"/>
          <w:szCs w:val="32"/>
        </w:rPr>
        <w:t>拱桥乡槐佛庵2号规划应急功能，建立应急设备设施，提升应急防灾减灾质量和实效。注重应急防抗救能力，发挥应对防抗救能力、改善提升防灾减灾作用。</w:t>
      </w:r>
    </w:p>
    <w:bookmarkEnd w:id="75"/>
    <w:tbl>
      <w:tblPr>
        <w:tblStyle w:val="20"/>
        <w:tblpPr w:leftFromText="180" w:rightFromText="180" w:vertAnchor="text" w:horzAnchor="margin" w:tblpXSpec="center" w:tblpY="74"/>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8786" w:type="dxa"/>
          </w:tcPr>
          <w:p>
            <w:pPr>
              <w:ind w:firstLine="0" w:firstLineChars="0"/>
              <w:jc w:val="center"/>
              <w:rPr>
                <w:rFonts w:cs="Times New Roman"/>
                <w:bCs/>
                <w:color w:val="000000" w:themeColor="text1"/>
                <w:szCs w:val="32"/>
                <w:lang w:bidi="ar"/>
              </w:rPr>
            </w:pPr>
            <w:r>
              <w:rPr>
                <w:rFonts w:cs="Times New Roman"/>
                <w:bCs/>
                <w:color w:val="000000" w:themeColor="text1"/>
                <w:szCs w:val="32"/>
                <w:lang w:bidi="ar"/>
              </w:rPr>
              <w:t>专栏3：自然灾害防治重点工程</w:t>
            </w:r>
          </w:p>
          <w:p>
            <w:pPr>
              <w:ind w:firstLine="643"/>
              <w:rPr>
                <w:rFonts w:cs="Times New Roman"/>
                <w:color w:val="000000" w:themeColor="text1"/>
                <w:szCs w:val="32"/>
                <w:lang w:bidi="ar"/>
              </w:rPr>
            </w:pPr>
            <w:r>
              <w:rPr>
                <w:rFonts w:cs="Times New Roman"/>
                <w:b/>
                <w:bCs/>
                <w:color w:val="000000" w:themeColor="text1"/>
                <w:szCs w:val="32"/>
                <w:lang w:bidi="ar"/>
              </w:rPr>
              <w:t>1.</w:t>
            </w:r>
            <w:r>
              <w:rPr>
                <w:rFonts w:cs="Times New Roman"/>
                <w:color w:val="000000" w:themeColor="text1"/>
                <w:szCs w:val="32"/>
                <w:lang w:bidi="ar"/>
              </w:rPr>
              <w:t>片区</w:t>
            </w:r>
            <w:r>
              <w:rPr>
                <w:rFonts w:hint="eastAsia" w:cs="Times New Roman"/>
                <w:color w:val="000000" w:themeColor="text1"/>
                <w:szCs w:val="32"/>
              </w:rPr>
              <w:t>报花厅水库、阮家桥水库、李氏祠水库、水对沟水库</w:t>
            </w:r>
            <w:r>
              <w:rPr>
                <w:rFonts w:cs="Times New Roman"/>
                <w:color w:val="000000" w:themeColor="text1"/>
                <w:szCs w:val="32"/>
              </w:rPr>
              <w:t>大坝</w:t>
            </w:r>
            <w:r>
              <w:rPr>
                <w:rFonts w:hint="eastAsia" w:cs="Times New Roman"/>
                <w:color w:val="000000" w:themeColor="text1"/>
                <w:szCs w:val="32"/>
              </w:rPr>
              <w:t>除险加固工程</w:t>
            </w:r>
          </w:p>
          <w:p>
            <w:pPr>
              <w:ind w:firstLine="640"/>
              <w:rPr>
                <w:rFonts w:cs="Times New Roman"/>
                <w:color w:val="000000" w:themeColor="text1"/>
                <w:szCs w:val="32"/>
                <w:lang w:bidi="ar"/>
              </w:rPr>
            </w:pPr>
            <w:r>
              <w:rPr>
                <w:rFonts w:cs="Times New Roman"/>
                <w:color w:val="000000" w:themeColor="text1"/>
                <w:szCs w:val="32"/>
                <w:lang w:bidi="ar"/>
              </w:rPr>
              <w:t>建设内容：片区内</w:t>
            </w:r>
            <w:r>
              <w:rPr>
                <w:rFonts w:hint="eastAsia" w:cs="Times New Roman"/>
                <w:color w:val="000000" w:themeColor="text1"/>
                <w:szCs w:val="32"/>
              </w:rPr>
              <w:t>报花厅水库、阮家桥水库、李氏祠水库、水对沟水库</w:t>
            </w:r>
            <w:r>
              <w:rPr>
                <w:rFonts w:cs="Times New Roman"/>
                <w:color w:val="000000" w:themeColor="text1"/>
                <w:szCs w:val="32"/>
              </w:rPr>
              <w:t>大坝</w:t>
            </w:r>
            <w:r>
              <w:rPr>
                <w:rFonts w:hint="eastAsia" w:cs="Times New Roman"/>
                <w:color w:val="000000" w:themeColor="text1"/>
                <w:szCs w:val="32"/>
              </w:rPr>
              <w:t>除险加固</w:t>
            </w:r>
            <w:r>
              <w:rPr>
                <w:rFonts w:cs="Times New Roman"/>
                <w:color w:val="000000" w:themeColor="text1"/>
                <w:szCs w:val="32"/>
                <w:lang w:bidi="ar"/>
              </w:rPr>
              <w:t>。</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rPr>
              <w:t>周礼镇</w:t>
            </w:r>
            <w:r>
              <w:rPr>
                <w:rFonts w:cs="Times New Roman"/>
                <w:color w:val="000000" w:themeColor="text1"/>
              </w:rPr>
              <w:t>、</w:t>
            </w:r>
            <w:r>
              <w:rPr>
                <w:rFonts w:hint="eastAsia" w:cs="Times New Roman"/>
                <w:color w:val="000000" w:themeColor="text1"/>
              </w:rPr>
              <w:t>镇子镇、大平镇</w:t>
            </w:r>
            <w:r>
              <w:rPr>
                <w:rFonts w:cs="Times New Roman"/>
                <w:color w:val="000000" w:themeColor="text1"/>
              </w:rPr>
              <w:t>、</w:t>
            </w:r>
            <w:r>
              <w:rPr>
                <w:rFonts w:hint="eastAsia" w:cs="Times New Roman"/>
                <w:color w:val="000000" w:themeColor="text1"/>
              </w:rPr>
              <w:t>拱桥乡</w:t>
            </w:r>
          </w:p>
          <w:p>
            <w:pPr>
              <w:ind w:firstLine="640"/>
              <w:rPr>
                <w:rFonts w:cs="Times New Roman"/>
                <w:color w:val="000000" w:themeColor="text1"/>
                <w:szCs w:val="32"/>
                <w:lang w:bidi="ar"/>
              </w:rPr>
            </w:pPr>
            <w:r>
              <w:rPr>
                <w:rFonts w:cs="Times New Roman"/>
                <w:color w:val="000000" w:themeColor="text1"/>
                <w:szCs w:val="32"/>
                <w:lang w:bidi="ar"/>
              </w:rPr>
              <w:t>责任单位：安岳县水务局</w:t>
            </w:r>
            <w:r>
              <w:rPr>
                <w:rFonts w:hint="eastAsia" w:cs="Times New Roman"/>
                <w:color w:val="000000" w:themeColor="text1"/>
                <w:szCs w:val="32"/>
                <w:lang w:eastAsia="zh-CN" w:bidi="ar"/>
              </w:rPr>
              <w:t>、</w:t>
            </w:r>
            <w:r>
              <w:rPr>
                <w:rFonts w:hint="eastAsia" w:cs="Times New Roman"/>
                <w:color w:val="000000" w:themeColor="text1"/>
                <w:szCs w:val="32"/>
                <w:lang w:bidi="ar"/>
              </w:rPr>
              <w:t>各</w:t>
            </w:r>
            <w:r>
              <w:rPr>
                <w:rFonts w:cs="Times New Roman"/>
                <w:color w:val="000000" w:themeColor="text1"/>
                <w:szCs w:val="32"/>
                <w:lang w:bidi="ar"/>
              </w:rPr>
              <w:t>乡镇人民政府。</w:t>
            </w:r>
            <w:r>
              <w:rPr>
                <w:rFonts w:cs="Times New Roman"/>
                <w:color w:val="000000" w:themeColor="text1"/>
                <w:szCs w:val="32"/>
              </w:rPr>
              <w:t>资金估算</w:t>
            </w:r>
            <w:r>
              <w:rPr>
                <w:rFonts w:hint="eastAsia" w:cs="Times New Roman"/>
                <w:color w:val="000000" w:themeColor="text1"/>
                <w:szCs w:val="32"/>
              </w:rPr>
              <w:t>6</w:t>
            </w:r>
            <w:r>
              <w:rPr>
                <w:rFonts w:cs="Times New Roman"/>
                <w:color w:val="000000" w:themeColor="text1"/>
                <w:szCs w:val="32"/>
              </w:rPr>
              <w:t>38</w:t>
            </w:r>
            <w:r>
              <w:rPr>
                <w:rFonts w:cs="Times New Roman"/>
                <w:color w:val="000000" w:themeColor="text1"/>
                <w:szCs w:val="32"/>
                <w:lang w:bidi="ar"/>
              </w:rPr>
              <w:t xml:space="preserve">0万。完成期限：2025年； </w:t>
            </w:r>
          </w:p>
          <w:p>
            <w:pPr>
              <w:ind w:firstLine="643"/>
              <w:rPr>
                <w:rFonts w:cs="Times New Roman"/>
                <w:color w:val="000000" w:themeColor="text1"/>
                <w:szCs w:val="32"/>
                <w:lang w:bidi="ar"/>
              </w:rPr>
            </w:pPr>
            <w:r>
              <w:rPr>
                <w:rFonts w:cs="Times New Roman"/>
                <w:b/>
                <w:bCs/>
                <w:color w:val="000000" w:themeColor="text1"/>
                <w:szCs w:val="32"/>
                <w:lang w:bidi="ar"/>
              </w:rPr>
              <w:t>2.</w:t>
            </w:r>
            <w:r>
              <w:rPr>
                <w:rFonts w:cs="Times New Roman"/>
                <w:color w:val="000000" w:themeColor="text1"/>
                <w:szCs w:val="32"/>
                <w:lang w:bidi="ar"/>
              </w:rPr>
              <w:t>洪涝灾害综合治理工程</w:t>
            </w:r>
          </w:p>
          <w:p>
            <w:pPr>
              <w:ind w:firstLine="640"/>
              <w:rPr>
                <w:rFonts w:cs="Times New Roman"/>
                <w:color w:val="000000" w:themeColor="text1"/>
                <w:szCs w:val="32"/>
                <w:lang w:bidi="ar"/>
              </w:rPr>
            </w:pPr>
            <w:r>
              <w:rPr>
                <w:rFonts w:cs="Times New Roman"/>
                <w:color w:val="000000" w:themeColor="text1"/>
                <w:szCs w:val="32"/>
                <w:lang w:bidi="ar"/>
              </w:rPr>
              <w:t>建设内容：复核山洪灾害危险区分级，制定应急预案；构建洪涝灾害防御体系，新建更新自动化雨量监测站、简易雨量报警装置，加强水文应急监测</w:t>
            </w:r>
            <w:r>
              <w:rPr>
                <w:rFonts w:hint="eastAsia" w:cs="Times New Roman"/>
                <w:color w:val="000000" w:themeColor="text1"/>
                <w:szCs w:val="32"/>
                <w:lang w:bidi="ar"/>
              </w:rPr>
              <w:t>，</w:t>
            </w:r>
            <w:r>
              <w:rPr>
                <w:rFonts w:hint="eastAsia" w:cs="Times New Roman"/>
                <w:color w:val="000000" w:themeColor="text1"/>
                <w:szCs w:val="32"/>
              </w:rPr>
              <w:t>四川省安岳县小蒙溪河周礼镇防洪治理工程。</w:t>
            </w:r>
            <w:r>
              <w:rPr>
                <w:rFonts w:cs="Times New Roman"/>
                <w:color w:val="000000" w:themeColor="text1"/>
                <w:szCs w:val="32"/>
                <w:lang w:bidi="ar"/>
              </w:rPr>
              <w:t>规划</w:t>
            </w:r>
            <w:r>
              <w:rPr>
                <w:rFonts w:hint="eastAsia" w:cs="Times New Roman"/>
                <w:color w:val="000000" w:themeColor="text1"/>
              </w:rPr>
              <w:t>周礼镇</w:t>
            </w:r>
            <w:r>
              <w:rPr>
                <w:rFonts w:cs="Times New Roman"/>
                <w:color w:val="000000" w:themeColor="text1"/>
              </w:rPr>
              <w:t>、</w:t>
            </w:r>
            <w:r>
              <w:rPr>
                <w:rFonts w:hint="eastAsia" w:cs="Times New Roman"/>
                <w:color w:val="000000" w:themeColor="text1"/>
              </w:rPr>
              <w:t>镇子镇镇区</w:t>
            </w:r>
            <w:r>
              <w:rPr>
                <w:rFonts w:cs="Times New Roman"/>
                <w:color w:val="000000" w:themeColor="text1"/>
                <w:szCs w:val="32"/>
                <w:lang w:bidi="ar"/>
              </w:rPr>
              <w:t>按照20年一遇防洪标准设防，</w:t>
            </w:r>
            <w:r>
              <w:rPr>
                <w:rFonts w:hint="eastAsia" w:cs="Times New Roman"/>
                <w:color w:val="000000" w:themeColor="text1"/>
              </w:rPr>
              <w:t>大平镇</w:t>
            </w:r>
            <w:r>
              <w:rPr>
                <w:rFonts w:cs="Times New Roman"/>
                <w:color w:val="000000" w:themeColor="text1"/>
              </w:rPr>
              <w:t>、</w:t>
            </w:r>
            <w:r>
              <w:rPr>
                <w:rFonts w:hint="eastAsia" w:cs="Times New Roman"/>
                <w:color w:val="000000" w:themeColor="text1"/>
              </w:rPr>
              <w:t>南薰镇</w:t>
            </w:r>
            <w:r>
              <w:rPr>
                <w:rFonts w:cs="Times New Roman"/>
                <w:color w:val="000000" w:themeColor="text1"/>
              </w:rPr>
              <w:t>、</w:t>
            </w:r>
            <w:r>
              <w:rPr>
                <w:rFonts w:hint="eastAsia" w:cs="Times New Roman"/>
                <w:color w:val="000000" w:themeColor="text1"/>
              </w:rPr>
              <w:t>千佛乡</w:t>
            </w:r>
            <w:r>
              <w:rPr>
                <w:rFonts w:cs="Times New Roman"/>
                <w:color w:val="000000" w:themeColor="text1"/>
              </w:rPr>
              <w:t>、</w:t>
            </w:r>
            <w:r>
              <w:rPr>
                <w:rFonts w:hint="eastAsia" w:cs="Times New Roman"/>
                <w:color w:val="000000" w:themeColor="text1"/>
              </w:rPr>
              <w:t>拱桥乡</w:t>
            </w:r>
            <w:r>
              <w:rPr>
                <w:rFonts w:cs="Times New Roman"/>
                <w:color w:val="000000" w:themeColor="text1"/>
                <w:szCs w:val="32"/>
                <w:lang w:bidi="ar"/>
              </w:rPr>
              <w:t>4个镇镇区按照10年一遇防洪标准设防；内涝防治标准采用5年一遇；农村集中居民点防洪标准采用10年一遇，内涝防治标准采用5年一遇。</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各</w:t>
            </w:r>
            <w:r>
              <w:rPr>
                <w:rFonts w:cs="Times New Roman"/>
                <w:color w:val="000000" w:themeColor="text1"/>
                <w:szCs w:val="32"/>
                <w:lang w:bidi="ar"/>
              </w:rPr>
              <w:t>乡镇。</w:t>
            </w:r>
          </w:p>
          <w:p>
            <w:pPr>
              <w:ind w:firstLine="640"/>
              <w:rPr>
                <w:rFonts w:cs="Times New Roman"/>
                <w:color w:val="000000" w:themeColor="text1"/>
                <w:szCs w:val="32"/>
                <w:lang w:bidi="ar"/>
              </w:rPr>
            </w:pPr>
            <w:r>
              <w:rPr>
                <w:rFonts w:cs="Times New Roman"/>
                <w:color w:val="000000" w:themeColor="text1"/>
                <w:szCs w:val="32"/>
                <w:lang w:bidi="ar"/>
              </w:rPr>
              <w:t xml:space="preserve">责任单位：安岳县水务局、片区乡镇人民政府。资金估算5500万。完成期限：2027年； </w:t>
            </w:r>
          </w:p>
          <w:p>
            <w:pPr>
              <w:ind w:firstLine="643"/>
              <w:rPr>
                <w:rFonts w:cs="Times New Roman"/>
                <w:color w:val="000000" w:themeColor="text1"/>
                <w:szCs w:val="32"/>
                <w:lang w:bidi="ar"/>
              </w:rPr>
            </w:pPr>
            <w:bookmarkStart w:id="76" w:name="_Hlk121217156"/>
            <w:r>
              <w:rPr>
                <w:rFonts w:cs="Times New Roman"/>
                <w:b/>
                <w:bCs/>
                <w:color w:val="000000" w:themeColor="text1"/>
                <w:szCs w:val="32"/>
                <w:lang w:bidi="ar"/>
              </w:rPr>
              <w:t>3.</w:t>
            </w:r>
            <w:r>
              <w:rPr>
                <w:rFonts w:cs="Times New Roman"/>
                <w:color w:val="000000" w:themeColor="text1"/>
                <w:szCs w:val="32"/>
                <w:lang w:bidi="ar"/>
              </w:rPr>
              <w:t>地质灾害防治能力提升工程</w:t>
            </w:r>
          </w:p>
          <w:p>
            <w:pPr>
              <w:ind w:firstLine="640"/>
              <w:rPr>
                <w:rFonts w:cs="Times New Roman"/>
                <w:color w:val="000000" w:themeColor="text1"/>
                <w:szCs w:val="32"/>
                <w:lang w:bidi="ar"/>
              </w:rPr>
            </w:pPr>
            <w:r>
              <w:rPr>
                <w:rFonts w:cs="Times New Roman"/>
                <w:color w:val="000000" w:themeColor="text1"/>
                <w:szCs w:val="32"/>
                <w:lang w:bidi="ar"/>
              </w:rPr>
              <w:t>建设内容：开展巡查排查，建立台账，制定应急预案，完善监测预警体系，构建地质灾害防御体系。每年对片区内地质灾害隐患点根据危险程度，分别采取排危除险、工程治理、避险搬迁的方式进行治理。</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各</w:t>
            </w:r>
            <w:r>
              <w:rPr>
                <w:rFonts w:cs="Times New Roman"/>
                <w:color w:val="000000" w:themeColor="text1"/>
                <w:szCs w:val="32"/>
                <w:lang w:bidi="ar"/>
              </w:rPr>
              <w:t>乡镇</w:t>
            </w:r>
          </w:p>
          <w:p>
            <w:pPr>
              <w:ind w:firstLine="640"/>
              <w:rPr>
                <w:rFonts w:cs="Times New Roman"/>
                <w:color w:val="000000" w:themeColor="text1"/>
                <w:szCs w:val="32"/>
                <w:lang w:bidi="ar"/>
              </w:rPr>
            </w:pPr>
            <w:r>
              <w:rPr>
                <w:rFonts w:cs="Times New Roman"/>
                <w:color w:val="000000" w:themeColor="text1"/>
                <w:szCs w:val="32"/>
                <w:lang w:bidi="ar"/>
              </w:rPr>
              <w:t>责任单位：安岳</w:t>
            </w:r>
            <w:r>
              <w:rPr>
                <w:rFonts w:hint="eastAsia" w:cs="Times New Roman"/>
                <w:color w:val="000000" w:themeColor="text1"/>
                <w:szCs w:val="32"/>
                <w:lang w:bidi="ar"/>
              </w:rPr>
              <w:t>县</w:t>
            </w:r>
            <w:r>
              <w:rPr>
                <w:rFonts w:cs="Times New Roman"/>
                <w:color w:val="000000" w:themeColor="text1"/>
                <w:szCs w:val="32"/>
                <w:lang w:bidi="ar"/>
              </w:rPr>
              <w:t>自然资源和规划局、乡镇人民政府。</w:t>
            </w:r>
            <w:r>
              <w:rPr>
                <w:rFonts w:cs="Times New Roman"/>
                <w:color w:val="000000" w:themeColor="text1"/>
                <w:szCs w:val="32"/>
              </w:rPr>
              <w:t>资金估算根据实际情况使用</w:t>
            </w:r>
            <w:r>
              <w:rPr>
                <w:rFonts w:cs="Times New Roman"/>
                <w:color w:val="000000" w:themeColor="text1"/>
                <w:szCs w:val="32"/>
                <w:lang w:bidi="ar"/>
              </w:rPr>
              <w:t>。完成期限：2025年。</w:t>
            </w:r>
            <w:bookmarkEnd w:id="76"/>
          </w:p>
          <w:p>
            <w:pPr>
              <w:ind w:firstLine="643"/>
              <w:rPr>
                <w:rFonts w:cs="Times New Roman"/>
                <w:color w:val="000000" w:themeColor="text1"/>
                <w:szCs w:val="32"/>
                <w:lang w:bidi="ar"/>
              </w:rPr>
            </w:pPr>
            <w:r>
              <w:rPr>
                <w:rFonts w:cs="Times New Roman"/>
                <w:b/>
                <w:bCs/>
                <w:color w:val="000000" w:themeColor="text1"/>
                <w:szCs w:val="32"/>
                <w:lang w:bidi="ar"/>
              </w:rPr>
              <w:t>4、</w:t>
            </w:r>
            <w:r>
              <w:rPr>
                <w:rFonts w:cs="Times New Roman"/>
                <w:color w:val="000000" w:themeColor="text1"/>
                <w:szCs w:val="32"/>
                <w:lang w:bidi="ar"/>
              </w:rPr>
              <w:t>应急救援基地建设</w:t>
            </w:r>
          </w:p>
          <w:p>
            <w:pPr>
              <w:ind w:firstLine="640"/>
              <w:rPr>
                <w:rFonts w:cs="Times New Roman"/>
                <w:szCs w:val="32"/>
                <w:lang w:bidi="ar"/>
              </w:rPr>
            </w:pPr>
            <w:r>
              <w:rPr>
                <w:rFonts w:cs="Times New Roman"/>
                <w:color w:val="000000" w:themeColor="text1"/>
                <w:szCs w:val="32"/>
                <w:lang w:bidi="ar"/>
              </w:rPr>
              <w:t>建设内容：</w:t>
            </w:r>
            <w:r>
              <w:rPr>
                <w:rFonts w:cs="Times New Roman"/>
                <w:szCs w:val="32"/>
                <w:lang w:bidi="ar"/>
              </w:rPr>
              <w:t>利用原</w:t>
            </w:r>
            <w:r>
              <w:rPr>
                <w:rFonts w:hint="eastAsia" w:cs="Times New Roman"/>
                <w:color w:val="000000" w:themeColor="text1"/>
                <w:szCs w:val="32"/>
              </w:rPr>
              <w:t>周礼镇玉顶村小学</w:t>
            </w:r>
            <w:r>
              <w:rPr>
                <w:rFonts w:hint="eastAsia" w:cs="Times New Roman"/>
                <w:color w:val="000000" w:themeColor="text1"/>
                <w:szCs w:val="32"/>
                <w:lang w:eastAsia="zh-CN" w:bidi="ar"/>
              </w:rPr>
              <w:t>、</w:t>
            </w:r>
            <w:r>
              <w:rPr>
                <w:rFonts w:hint="eastAsia" w:cs="Times New Roman"/>
                <w:szCs w:val="32"/>
                <w:lang w:bidi="ar"/>
              </w:rPr>
              <w:t>镇子镇政府广场</w:t>
            </w:r>
            <w:r>
              <w:rPr>
                <w:rFonts w:cs="Times New Roman"/>
                <w:szCs w:val="32"/>
                <w:lang w:bidi="ar"/>
              </w:rPr>
              <w:t>、</w:t>
            </w:r>
            <w:r>
              <w:rPr>
                <w:rFonts w:hint="eastAsia" w:cs="Times New Roman"/>
                <w:szCs w:val="32"/>
                <w:lang w:bidi="ar"/>
              </w:rPr>
              <w:t>大平镇九义校，千佛乡</w:t>
            </w:r>
            <w:r>
              <w:rPr>
                <w:rFonts w:cs="Times New Roman"/>
                <w:color w:val="000000" w:themeColor="text1"/>
                <w:szCs w:val="32"/>
                <w:lang w:bidi="ar"/>
              </w:rPr>
              <w:t>龙佛街6号、原拱桥乡</w:t>
            </w:r>
            <w:r>
              <w:rPr>
                <w:rFonts w:cs="Times New Roman"/>
                <w:color w:val="000000" w:themeColor="text1"/>
                <w:szCs w:val="32"/>
              </w:rPr>
              <w:t>槐佛庵2号</w:t>
            </w:r>
            <w:r>
              <w:rPr>
                <w:rFonts w:cs="Times New Roman"/>
                <w:szCs w:val="32"/>
                <w:lang w:bidi="ar"/>
              </w:rPr>
              <w:t>改建或新建应急救援基地。</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建设性质：原</w:t>
            </w:r>
            <w:r>
              <w:rPr>
                <w:rFonts w:hint="eastAsia" w:ascii="Times New Roman" w:hAnsi="Times New Roman" w:eastAsia="仿宋" w:cs="Times New Roman"/>
                <w:color w:val="000000" w:themeColor="text1"/>
                <w:sz w:val="32"/>
                <w:szCs w:val="32"/>
                <w:lang w:bidi="ar"/>
              </w:rPr>
              <w:t>周礼镇玉顶村小学</w:t>
            </w:r>
            <w:r>
              <w:rPr>
                <w:rFonts w:ascii="Times New Roman" w:hAnsi="Times New Roman" w:eastAsia="仿宋" w:cs="Times New Roman"/>
                <w:color w:val="000000" w:themeColor="text1"/>
                <w:sz w:val="32"/>
                <w:szCs w:val="32"/>
                <w:lang w:bidi="ar"/>
              </w:rPr>
              <w:t xml:space="preserve"> 1324.06㎡、</w:t>
            </w:r>
            <w:r>
              <w:rPr>
                <w:rFonts w:hint="eastAsia" w:ascii="Times New Roman" w:hAnsi="Times New Roman" w:eastAsia="仿宋" w:cs="Times New Roman"/>
                <w:color w:val="000000" w:themeColor="text1"/>
                <w:sz w:val="32"/>
                <w:szCs w:val="32"/>
                <w:lang w:bidi="ar"/>
              </w:rPr>
              <w:t>现有镇子镇政府广场</w:t>
            </w:r>
            <w:r>
              <w:rPr>
                <w:rFonts w:ascii="Times New Roman" w:hAnsi="Times New Roman" w:eastAsia="仿宋" w:cs="Times New Roman"/>
                <w:color w:val="000000" w:themeColor="text1"/>
                <w:sz w:val="32"/>
                <w:szCs w:val="32"/>
                <w:lang w:bidi="ar"/>
              </w:rPr>
              <w:t>2000㎡、</w:t>
            </w:r>
            <w:r>
              <w:rPr>
                <w:rFonts w:hint="eastAsia" w:ascii="Times New Roman" w:hAnsi="Times New Roman" w:eastAsia="仿宋" w:cs="Times New Roman"/>
                <w:color w:val="000000" w:themeColor="text1"/>
                <w:sz w:val="32"/>
                <w:szCs w:val="32"/>
                <w:lang w:bidi="ar"/>
              </w:rPr>
              <w:t>共建大平镇九义校4</w:t>
            </w:r>
            <w:r>
              <w:rPr>
                <w:rFonts w:ascii="Times New Roman" w:hAnsi="Times New Roman" w:eastAsia="仿宋" w:cs="Times New Roman"/>
                <w:color w:val="000000" w:themeColor="text1"/>
                <w:sz w:val="32"/>
                <w:szCs w:val="32"/>
                <w:lang w:bidi="ar"/>
              </w:rPr>
              <w:t>200㎡</w:t>
            </w:r>
            <w:r>
              <w:rPr>
                <w:rFonts w:hint="eastAsia" w:ascii="Times New Roman" w:hAnsi="Times New Roman" w:eastAsia="仿宋" w:cs="Times New Roman"/>
                <w:color w:val="000000" w:themeColor="text1"/>
                <w:sz w:val="32"/>
                <w:szCs w:val="32"/>
                <w:lang w:bidi="ar"/>
              </w:rPr>
              <w:t>、新建千佛乡</w:t>
            </w:r>
            <w:r>
              <w:rPr>
                <w:rFonts w:ascii="Times New Roman" w:hAnsi="Times New Roman" w:eastAsia="仿宋" w:cs="Times New Roman"/>
                <w:color w:val="000000" w:themeColor="text1"/>
                <w:sz w:val="32"/>
                <w:szCs w:val="32"/>
                <w:lang w:bidi="ar"/>
              </w:rPr>
              <w:t>龙佛街6号150㎡、</w:t>
            </w:r>
            <w:r>
              <w:rPr>
                <w:rFonts w:hint="eastAsia" w:ascii="Times New Roman" w:hAnsi="Times New Roman" w:eastAsia="仿宋" w:cs="Times New Roman"/>
                <w:color w:val="000000" w:themeColor="text1"/>
                <w:sz w:val="32"/>
                <w:szCs w:val="32"/>
                <w:lang w:bidi="ar"/>
              </w:rPr>
              <w:t>新建</w:t>
            </w:r>
            <w:r>
              <w:rPr>
                <w:rFonts w:ascii="Times New Roman" w:hAnsi="Times New Roman" w:eastAsia="仿宋" w:cs="Times New Roman"/>
                <w:color w:val="000000" w:themeColor="text1"/>
                <w:sz w:val="32"/>
                <w:szCs w:val="32"/>
                <w:lang w:bidi="ar"/>
              </w:rPr>
              <w:t>拱桥乡槐佛庵2号150㎡。</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w:t>
            </w:r>
            <w:r>
              <w:rPr>
                <w:rFonts w:hint="eastAsia" w:ascii="Times New Roman" w:hAnsi="Times New Roman" w:eastAsia="仿宋" w:cs="Times New Roman"/>
                <w:color w:val="000000" w:themeColor="text1"/>
                <w:sz w:val="32"/>
                <w:szCs w:val="32"/>
                <w:lang w:bidi="ar"/>
              </w:rPr>
              <w:t>原周礼镇玉顶村小学</w:t>
            </w:r>
            <w:r>
              <w:rPr>
                <w:rFonts w:ascii="Times New Roman" w:hAnsi="Times New Roman" w:eastAsia="仿宋" w:cs="Times New Roman"/>
                <w:color w:val="000000" w:themeColor="text1"/>
                <w:sz w:val="32"/>
                <w:szCs w:val="32"/>
                <w:lang w:bidi="ar"/>
              </w:rPr>
              <w:t>（105.1558,29.875）、</w:t>
            </w:r>
            <w:r>
              <w:rPr>
                <w:rFonts w:hint="eastAsia" w:ascii="Times New Roman" w:hAnsi="Times New Roman" w:eastAsia="仿宋" w:cs="Times New Roman"/>
                <w:color w:val="000000" w:themeColor="text1"/>
                <w:sz w:val="32"/>
                <w:szCs w:val="32"/>
                <w:lang w:bidi="ar"/>
              </w:rPr>
              <w:t>原镇子镇政府广场</w:t>
            </w:r>
            <w:r>
              <w:rPr>
                <w:rFonts w:ascii="Times New Roman" w:hAnsi="Times New Roman" w:eastAsia="仿宋" w:cs="Times New Roman"/>
                <w:color w:val="000000" w:themeColor="text1"/>
                <w:sz w:val="32"/>
                <w:szCs w:val="32"/>
                <w:lang w:bidi="ar"/>
              </w:rPr>
              <w:t>（105.209837, 29.978952）、</w:t>
            </w:r>
            <w:r>
              <w:rPr>
                <w:rFonts w:hint="eastAsia" w:ascii="Times New Roman" w:hAnsi="Times New Roman" w:eastAsia="仿宋" w:cs="Times New Roman"/>
                <w:color w:val="000000" w:themeColor="text1"/>
                <w:sz w:val="32"/>
                <w:szCs w:val="32"/>
                <w:lang w:bidi="ar"/>
              </w:rPr>
              <w:t>共建大平镇九义校（</w:t>
            </w:r>
            <w:r>
              <w:rPr>
                <w:rFonts w:ascii="Times New Roman" w:hAnsi="Times New Roman" w:eastAsia="仿宋" w:cs="Times New Roman"/>
                <w:color w:val="000000" w:themeColor="text1"/>
                <w:sz w:val="32"/>
                <w:szCs w:val="32"/>
                <w:lang w:bidi="ar"/>
              </w:rPr>
              <w:t xml:space="preserve"> 105.25184512,29.89058312</w:t>
            </w:r>
            <w:r>
              <w:rPr>
                <w:rFonts w:hint="eastAsia" w:ascii="Times New Roman" w:hAnsi="Times New Roman" w:eastAsia="仿宋" w:cs="Times New Roman"/>
                <w:color w:val="000000" w:themeColor="text1"/>
                <w:sz w:val="32"/>
                <w:szCs w:val="32"/>
                <w:lang w:bidi="ar"/>
              </w:rPr>
              <w:t>）、新建千佛乡</w:t>
            </w:r>
            <w:r>
              <w:rPr>
                <w:rFonts w:ascii="Times New Roman" w:hAnsi="Times New Roman" w:eastAsia="仿宋" w:cs="Times New Roman"/>
                <w:color w:val="000000" w:themeColor="text1"/>
                <w:sz w:val="32"/>
                <w:szCs w:val="32"/>
                <w:lang w:bidi="ar"/>
              </w:rPr>
              <w:t>龙佛街6号（105.125799, 29.97231）、</w:t>
            </w:r>
            <w:r>
              <w:rPr>
                <w:rFonts w:hint="eastAsia" w:ascii="Times New Roman" w:hAnsi="Times New Roman" w:eastAsia="仿宋" w:cs="Times New Roman"/>
                <w:color w:val="000000" w:themeColor="text1"/>
                <w:sz w:val="32"/>
                <w:szCs w:val="32"/>
                <w:lang w:bidi="ar"/>
              </w:rPr>
              <w:t>新建</w:t>
            </w:r>
            <w:r>
              <w:rPr>
                <w:rFonts w:ascii="Times New Roman" w:hAnsi="Times New Roman" w:eastAsia="仿宋" w:cs="Times New Roman"/>
                <w:color w:val="000000" w:themeColor="text1"/>
                <w:sz w:val="32"/>
                <w:szCs w:val="32"/>
                <w:lang w:bidi="ar"/>
              </w:rPr>
              <w:t>拱桥乡槐佛庵2号（105.08846,29.935226）。</w:t>
            </w:r>
          </w:p>
          <w:p>
            <w:pPr>
              <w:pStyle w:val="2"/>
              <w:ind w:firstLine="640"/>
              <w:rPr>
                <w:rFonts w:ascii="Times New Roman" w:hAnsi="Times New Roman" w:cs="Times New Roman"/>
                <w:color w:val="000000" w:themeColor="text1"/>
                <w:lang w:bidi="ar"/>
              </w:rPr>
            </w:pPr>
            <w:r>
              <w:rPr>
                <w:rFonts w:ascii="Times New Roman" w:hAnsi="Times New Roman" w:eastAsia="仿宋" w:cs="Times New Roman"/>
                <w:color w:val="000000" w:themeColor="text1"/>
                <w:sz w:val="32"/>
                <w:szCs w:val="32"/>
                <w:lang w:bidi="ar"/>
              </w:rPr>
              <w:t>责任单位：安岳县应急管理局</w:t>
            </w:r>
            <w:r>
              <w:rPr>
                <w:rFonts w:hint="eastAsia" w:ascii="Times New Roman" w:hAnsi="Times New Roman" w:eastAsia="仿宋" w:cs="Times New Roman"/>
                <w:color w:val="000000" w:themeColor="text1"/>
                <w:sz w:val="32"/>
                <w:szCs w:val="32"/>
                <w:lang w:eastAsia="zh-CN" w:bidi="ar"/>
              </w:rPr>
              <w:t>、</w:t>
            </w:r>
            <w:r>
              <w:rPr>
                <w:rFonts w:hint="eastAsia" w:ascii="Times New Roman" w:hAnsi="Times New Roman" w:eastAsia="仿宋" w:cs="Times New Roman"/>
                <w:color w:val="000000" w:themeColor="text1"/>
                <w:sz w:val="32"/>
                <w:szCs w:val="32"/>
                <w:lang w:bidi="ar"/>
              </w:rPr>
              <w:t>周礼</w:t>
            </w:r>
            <w:r>
              <w:rPr>
                <w:rFonts w:ascii="Times New Roman" w:hAnsi="Times New Roman" w:eastAsia="仿宋" w:cs="Times New Roman"/>
                <w:color w:val="000000" w:themeColor="text1"/>
                <w:sz w:val="32"/>
                <w:szCs w:val="32"/>
                <w:lang w:bidi="ar"/>
              </w:rPr>
              <w:t>镇人民政府</w:t>
            </w:r>
            <w:r>
              <w:rPr>
                <w:rFonts w:hint="eastAsia" w:ascii="Times New Roman" w:hAnsi="Times New Roman" w:eastAsia="仿宋" w:cs="Times New Roman"/>
                <w:color w:val="000000" w:themeColor="text1"/>
                <w:sz w:val="32"/>
                <w:szCs w:val="32"/>
                <w:lang w:bidi="ar"/>
              </w:rPr>
              <w:t>、镇子</w:t>
            </w:r>
            <w:r>
              <w:rPr>
                <w:rFonts w:ascii="Times New Roman" w:hAnsi="Times New Roman" w:eastAsia="仿宋" w:cs="Times New Roman"/>
                <w:color w:val="000000" w:themeColor="text1"/>
                <w:sz w:val="32"/>
                <w:szCs w:val="32"/>
                <w:lang w:bidi="ar"/>
              </w:rPr>
              <w:t>镇人民政府</w:t>
            </w:r>
            <w:r>
              <w:rPr>
                <w:rFonts w:hint="eastAsia" w:ascii="Times New Roman" w:hAnsi="Times New Roman" w:eastAsia="仿宋" w:cs="Times New Roman"/>
                <w:color w:val="000000" w:themeColor="text1"/>
                <w:sz w:val="32"/>
                <w:szCs w:val="32"/>
                <w:lang w:bidi="ar"/>
              </w:rPr>
              <w:t>、大平镇</w:t>
            </w:r>
            <w:r>
              <w:rPr>
                <w:rFonts w:ascii="Times New Roman" w:hAnsi="Times New Roman" w:eastAsia="仿宋" w:cs="Times New Roman"/>
                <w:color w:val="000000" w:themeColor="text1"/>
                <w:sz w:val="32"/>
                <w:szCs w:val="32"/>
                <w:lang w:bidi="ar"/>
              </w:rPr>
              <w:t>镇人民政府</w:t>
            </w:r>
            <w:r>
              <w:rPr>
                <w:rFonts w:hint="eastAsia" w:ascii="Times New Roman" w:hAnsi="Times New Roman" w:eastAsia="仿宋" w:cs="Times New Roman"/>
                <w:color w:val="000000" w:themeColor="text1"/>
                <w:sz w:val="32"/>
                <w:szCs w:val="32"/>
                <w:lang w:bidi="ar"/>
              </w:rPr>
              <w:t>、千佛</w:t>
            </w:r>
            <w:r>
              <w:rPr>
                <w:rFonts w:ascii="Times New Roman" w:hAnsi="Times New Roman" w:eastAsia="仿宋" w:cs="Times New Roman"/>
                <w:color w:val="000000" w:themeColor="text1"/>
                <w:sz w:val="32"/>
                <w:szCs w:val="32"/>
                <w:lang w:bidi="ar"/>
              </w:rPr>
              <w:t>乡镇人民政府</w:t>
            </w:r>
            <w:r>
              <w:rPr>
                <w:rFonts w:hint="eastAsia" w:ascii="Times New Roman" w:hAnsi="Times New Roman" w:eastAsia="仿宋" w:cs="Times New Roman"/>
                <w:color w:val="000000" w:themeColor="text1"/>
                <w:sz w:val="32"/>
                <w:szCs w:val="32"/>
                <w:lang w:bidi="ar"/>
              </w:rPr>
              <w:t>、</w:t>
            </w:r>
            <w:r>
              <w:rPr>
                <w:rFonts w:ascii="Times New Roman" w:hAnsi="Times New Roman" w:eastAsia="仿宋" w:cs="Times New Roman"/>
                <w:color w:val="000000" w:themeColor="text1"/>
                <w:sz w:val="32"/>
                <w:szCs w:val="32"/>
                <w:lang w:bidi="ar"/>
              </w:rPr>
              <w:t>拱桥乡镇人民政府。资金估算426万。完成期限：2035年。</w:t>
            </w:r>
          </w:p>
        </w:tc>
      </w:tr>
    </w:tbl>
    <w:p>
      <w:pPr>
        <w:pStyle w:val="4"/>
        <w:rPr>
          <w:rFonts w:cs="Times New Roman"/>
          <w:color w:val="000000" w:themeColor="text1"/>
        </w:rPr>
      </w:pPr>
      <w:bookmarkStart w:id="77" w:name="_Toc98773646"/>
      <w:bookmarkStart w:id="78" w:name="_Toc7031"/>
      <w:r>
        <w:rPr>
          <w:rFonts w:cs="Times New Roman"/>
          <w:color w:val="000000" w:themeColor="text1"/>
        </w:rPr>
        <w:t xml:space="preserve">第四节  </w:t>
      </w:r>
      <w:bookmarkEnd w:id="77"/>
      <w:r>
        <w:rPr>
          <w:rFonts w:cs="Times New Roman"/>
          <w:color w:val="000000" w:themeColor="text1"/>
        </w:rPr>
        <w:t>加强综合应急能力建设</w:t>
      </w:r>
      <w:bookmarkEnd w:id="78"/>
    </w:p>
    <w:p>
      <w:pPr>
        <w:ind w:firstLine="640"/>
        <w:rPr>
          <w:rFonts w:cs="Times New Roman"/>
          <w:color w:val="000000" w:themeColor="text1"/>
          <w:szCs w:val="32"/>
        </w:rPr>
      </w:pPr>
      <w:bookmarkStart w:id="79" w:name="_Hlk104236377"/>
      <w:bookmarkStart w:id="80" w:name="_Hlk99789326"/>
      <w:r>
        <w:rPr>
          <w:rFonts w:cs="Times New Roman"/>
          <w:color w:val="000000" w:themeColor="text1"/>
          <w:szCs w:val="32"/>
        </w:rPr>
        <w:t>应急队伍建设</w:t>
      </w:r>
      <w:bookmarkEnd w:id="79"/>
      <w:r>
        <w:rPr>
          <w:rFonts w:cs="Times New Roman"/>
          <w:color w:val="000000" w:themeColor="text1"/>
          <w:szCs w:val="32"/>
        </w:rPr>
        <w:t>。</w:t>
      </w:r>
      <w:r>
        <w:rPr>
          <w:rFonts w:hint="eastAsia" w:cs="Times New Roman"/>
          <w:color w:val="000000" w:themeColor="text1"/>
          <w:szCs w:val="32"/>
        </w:rPr>
        <w:t>新建周礼</w:t>
      </w:r>
      <w:r>
        <w:rPr>
          <w:rFonts w:cs="Times New Roman"/>
          <w:color w:val="000000" w:themeColor="text1"/>
          <w:szCs w:val="32"/>
          <w:lang w:bidi="ar"/>
        </w:rPr>
        <w:t>政府专职消防救援站</w:t>
      </w:r>
      <w:r>
        <w:rPr>
          <w:rFonts w:hint="eastAsia" w:cs="Times New Roman"/>
          <w:color w:val="000000" w:themeColor="text1"/>
          <w:szCs w:val="32"/>
        </w:rPr>
        <w:t>，</w:t>
      </w:r>
      <w:r>
        <w:rPr>
          <w:rFonts w:hint="eastAsia" w:cs="Times New Roman"/>
          <w:color w:val="000000" w:themeColor="text1"/>
        </w:rPr>
        <w:t>现有</w:t>
      </w:r>
      <w:r>
        <w:rPr>
          <w:rFonts w:cs="Times New Roman"/>
          <w:color w:val="000000" w:themeColor="text1"/>
          <w:szCs w:val="32"/>
          <w:lang w:bidi="ar"/>
        </w:rPr>
        <w:t>镇子政府专职消防救援站</w:t>
      </w:r>
      <w:r>
        <w:rPr>
          <w:rFonts w:cs="Times New Roman"/>
          <w:color w:val="000000" w:themeColor="text1"/>
        </w:rPr>
        <w:t>队伍为主力，</w:t>
      </w:r>
      <w:r>
        <w:rPr>
          <w:rFonts w:cs="Times New Roman"/>
          <w:color w:val="000000" w:themeColor="text1"/>
          <w:szCs w:val="32"/>
        </w:rPr>
        <w:t>优化队伍先进适用装备；定期组织消防员进行救灾知识的学习演练，强化多灾种专业化训练演练，提高极端条件下的综合救援能力。</w:t>
      </w:r>
    </w:p>
    <w:bookmarkEnd w:id="80"/>
    <w:p>
      <w:pPr>
        <w:ind w:firstLine="640"/>
        <w:rPr>
          <w:rFonts w:cs="Times New Roman"/>
          <w:color w:val="000000" w:themeColor="text1"/>
          <w:szCs w:val="32"/>
        </w:rPr>
      </w:pPr>
      <w:bookmarkStart w:id="81" w:name="_Toc10268"/>
      <w:bookmarkStart w:id="82" w:name="_Toc15011"/>
      <w:bookmarkStart w:id="83" w:name="_Hlk104236410"/>
      <w:r>
        <w:rPr>
          <w:rFonts w:cs="Times New Roman"/>
          <w:bCs/>
          <w:color w:val="000000" w:themeColor="text1"/>
          <w:szCs w:val="32"/>
        </w:rPr>
        <w:t>应急预案</w:t>
      </w:r>
      <w:bookmarkEnd w:id="81"/>
      <w:bookmarkEnd w:id="82"/>
      <w:r>
        <w:rPr>
          <w:rFonts w:cs="Times New Roman"/>
          <w:bCs/>
          <w:color w:val="000000" w:themeColor="text1"/>
          <w:szCs w:val="32"/>
        </w:rPr>
        <w:t>建设</w:t>
      </w:r>
      <w:bookmarkEnd w:id="83"/>
      <w:r>
        <w:rPr>
          <w:rFonts w:cs="Times New Roman"/>
          <w:bCs/>
          <w:color w:val="000000" w:themeColor="text1"/>
          <w:szCs w:val="32"/>
        </w:rPr>
        <w:t>。</w:t>
      </w:r>
      <w:r>
        <w:rPr>
          <w:rFonts w:cs="Times New Roman"/>
          <w:color w:val="000000" w:themeColor="text1"/>
          <w:szCs w:val="32"/>
        </w:rPr>
        <w:t>根据片区乡镇安全生产和自然灾害风险特点，编制、修订和完善乡镇总体应急预案</w:t>
      </w:r>
      <w:r>
        <w:rPr>
          <w:rFonts w:cs="Times New Roman"/>
          <w:color w:val="000000" w:themeColor="text1"/>
        </w:rPr>
        <w:t>，专项预案、现场处置方案，</w:t>
      </w:r>
      <w:r>
        <w:rPr>
          <w:rFonts w:cs="Times New Roman"/>
          <w:color w:val="000000" w:themeColor="text1"/>
          <w:szCs w:val="32"/>
        </w:rPr>
        <w:t>村（社区）综合性“多案合一”应急手册，监督企业应急预案修订完善和备案，加强各层级应急预案的有效衔接，进行应急预案</w:t>
      </w:r>
      <w:r>
        <w:rPr>
          <w:rFonts w:cs="Times New Roman"/>
          <w:color w:val="000000" w:themeColor="text1"/>
        </w:rPr>
        <w:t>演练及修订</w:t>
      </w:r>
      <w:r>
        <w:rPr>
          <w:rFonts w:cs="Times New Roman"/>
          <w:color w:val="000000" w:themeColor="text1"/>
          <w:szCs w:val="32"/>
        </w:rPr>
        <w:t>。</w:t>
      </w:r>
      <w:r>
        <w:rPr>
          <w:rFonts w:cs="Times New Roman"/>
          <w:color w:val="000000" w:themeColor="text1"/>
        </w:rPr>
        <w:t>建立片区应急预案数据库</w:t>
      </w:r>
      <w:r>
        <w:rPr>
          <w:rFonts w:cs="Times New Roman"/>
          <w:color w:val="000000" w:themeColor="text1"/>
          <w:szCs w:val="32"/>
        </w:rPr>
        <w:t>。</w:t>
      </w:r>
    </w:p>
    <w:p>
      <w:pPr>
        <w:ind w:firstLine="640"/>
        <w:rPr>
          <w:rFonts w:cs="Times New Roman"/>
          <w:color w:val="000000" w:themeColor="text1"/>
        </w:rPr>
      </w:pPr>
      <w:bookmarkStart w:id="84" w:name="_Hlk104236423"/>
      <w:r>
        <w:rPr>
          <w:rFonts w:cs="Times New Roman"/>
          <w:bCs/>
          <w:color w:val="000000" w:themeColor="text1"/>
          <w:szCs w:val="32"/>
        </w:rPr>
        <w:t>应急装备建设</w:t>
      </w:r>
      <w:bookmarkEnd w:id="84"/>
      <w:r>
        <w:rPr>
          <w:rFonts w:cs="Times New Roman"/>
          <w:bCs/>
          <w:color w:val="000000" w:themeColor="text1"/>
          <w:szCs w:val="32"/>
        </w:rPr>
        <w:t>。</w:t>
      </w:r>
      <w:r>
        <w:rPr>
          <w:rFonts w:cs="Times New Roman"/>
          <w:color w:val="000000" w:themeColor="text1"/>
        </w:rPr>
        <w:t>乡镇消防站按《乡镇消防队》（GB/T35547-2017）配备灭火类装备，抢险救援类装备，个人防护类装备。</w:t>
      </w:r>
    </w:p>
    <w:p>
      <w:pPr>
        <w:ind w:firstLine="640"/>
        <w:rPr>
          <w:rFonts w:cs="Times New Roman"/>
          <w:b/>
          <w:color w:val="000000" w:themeColor="text1"/>
          <w:szCs w:val="32"/>
        </w:rPr>
      </w:pPr>
      <w:r>
        <w:rPr>
          <w:rFonts w:cs="Times New Roman"/>
          <w:bCs/>
          <w:color w:val="000000" w:themeColor="text1"/>
          <w:szCs w:val="32"/>
        </w:rPr>
        <w:t>应急物资储备库（点）建设。</w:t>
      </w:r>
      <w:r>
        <w:rPr>
          <w:rFonts w:cs="Times New Roman"/>
          <w:color w:val="000000" w:themeColor="text1"/>
        </w:rPr>
        <w:t>新建/扩建/利旧并优化应急物资储备库（点）布局，按照片区主要风险补齐应急物资储备。街道和</w:t>
      </w:r>
      <w:r>
        <w:rPr>
          <w:rFonts w:cs="Times New Roman"/>
          <w:color w:val="000000" w:themeColor="text1"/>
          <w:szCs w:val="32"/>
        </w:rPr>
        <w:t>乡镇应急物资储备库（点），建成后规范管理，制作统一门牌标识、管理制度、出入库登记台账，并建立跨乡镇应急物资保障联动协调机制，健全完善物资储备制度。升级现有应急救灾物资储备库，增补应急物资，进一步提高片区自然灾害应急救助能力。</w:t>
      </w:r>
    </w:p>
    <w:p>
      <w:pPr>
        <w:ind w:firstLine="640"/>
        <w:rPr>
          <w:rFonts w:cs="Times New Roman"/>
          <w:color w:val="000000" w:themeColor="text1"/>
          <w:szCs w:val="32"/>
        </w:rPr>
      </w:pPr>
      <w:bookmarkStart w:id="85" w:name="_Hlk104236450"/>
      <w:r>
        <w:rPr>
          <w:rFonts w:cs="Times New Roman"/>
          <w:bCs/>
          <w:color w:val="000000" w:themeColor="text1"/>
          <w:szCs w:val="32"/>
        </w:rPr>
        <w:t>应急避难场所建设</w:t>
      </w:r>
      <w:bookmarkEnd w:id="85"/>
      <w:r>
        <w:rPr>
          <w:rFonts w:cs="Times New Roman"/>
          <w:bCs/>
          <w:color w:val="000000" w:themeColor="text1"/>
          <w:szCs w:val="32"/>
        </w:rPr>
        <w:t>。</w:t>
      </w:r>
      <w:bookmarkStart w:id="86" w:name="_Hlk105055492"/>
      <w:r>
        <w:rPr>
          <w:rFonts w:cs="Times New Roman"/>
          <w:color w:val="000000" w:themeColor="text1"/>
          <w:szCs w:val="32"/>
        </w:rPr>
        <w:t>利用现有全民健身广场、文化活动站、学校、综合服务站广场等宽阔地带，共建规范化的应急避难场所，满足聚居点人均避难面积大于1.5㎡，增加应急避难休息、应急物资分发、应急厕所和应急医疗、应急垃圾收集、应急供水供电等基本设施和功能</w:t>
      </w:r>
      <w:bookmarkEnd w:id="86"/>
      <w:r>
        <w:rPr>
          <w:rFonts w:cs="Times New Roman"/>
          <w:color w:val="000000" w:themeColor="text1"/>
          <w:szCs w:val="32"/>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4" w:type="dxa"/>
          </w:tcPr>
          <w:p>
            <w:pPr>
              <w:ind w:firstLine="0" w:firstLineChars="0"/>
              <w:jc w:val="center"/>
              <w:rPr>
                <w:rFonts w:cs="Times New Roman"/>
                <w:color w:val="000000" w:themeColor="text1"/>
                <w:szCs w:val="32"/>
                <w:lang w:bidi="ar"/>
              </w:rPr>
            </w:pPr>
            <w:r>
              <w:rPr>
                <w:rFonts w:cs="Times New Roman"/>
                <w:color w:val="000000" w:themeColor="text1"/>
                <w:szCs w:val="32"/>
                <w:lang w:bidi="ar"/>
              </w:rPr>
              <w:t>专栏4：</w:t>
            </w:r>
            <w:bookmarkStart w:id="87" w:name="_Hlk104236466"/>
            <w:r>
              <w:rPr>
                <w:rFonts w:cs="Times New Roman"/>
                <w:color w:val="000000" w:themeColor="text1"/>
                <w:szCs w:val="32"/>
                <w:lang w:bidi="ar"/>
              </w:rPr>
              <w:t>应急能力建设重点工程</w:t>
            </w:r>
            <w:bookmarkEnd w:id="87"/>
          </w:p>
          <w:p>
            <w:pPr>
              <w:ind w:firstLine="640"/>
              <w:rPr>
                <w:rFonts w:cs="Times New Roman"/>
                <w:color w:val="000000" w:themeColor="text1"/>
                <w:szCs w:val="32"/>
                <w:lang w:bidi="ar"/>
              </w:rPr>
            </w:pPr>
            <w:r>
              <w:rPr>
                <w:rFonts w:cs="Times New Roman"/>
                <w:color w:val="000000" w:themeColor="text1"/>
                <w:szCs w:val="32"/>
                <w:lang w:bidi="ar"/>
              </w:rPr>
              <w:t>1.专职消防站建设</w:t>
            </w:r>
          </w:p>
          <w:p>
            <w:pPr>
              <w:ind w:firstLine="640"/>
              <w:rPr>
                <w:rFonts w:cs="Times New Roman"/>
                <w:color w:val="000000" w:themeColor="text1"/>
                <w:szCs w:val="32"/>
                <w:lang w:bidi="ar"/>
              </w:rPr>
            </w:pPr>
            <w:r>
              <w:rPr>
                <w:rFonts w:cs="Times New Roman"/>
                <w:color w:val="000000" w:themeColor="text1"/>
                <w:szCs w:val="32"/>
                <w:lang w:bidi="ar"/>
              </w:rPr>
              <w:t>建设内容：新建周礼消防救援站。增加政府专职消防救援人员10人，采购灭火类装备1200余件（套），抢险救援类装备1200余件（套），个人防护类装备1200余件（套）。</w:t>
            </w:r>
          </w:p>
          <w:p>
            <w:pPr>
              <w:ind w:firstLine="640"/>
              <w:rPr>
                <w:rFonts w:cs="Times New Roman"/>
                <w:color w:val="000000" w:themeColor="text1"/>
                <w:szCs w:val="32"/>
                <w:lang w:bidi="ar"/>
              </w:rPr>
            </w:pPr>
            <w:r>
              <w:rPr>
                <w:rFonts w:cs="Times New Roman"/>
                <w:color w:val="000000" w:themeColor="text1"/>
                <w:szCs w:val="32"/>
                <w:lang w:bidi="ar"/>
              </w:rPr>
              <w:t>建设性质：新建</w:t>
            </w:r>
            <w:r>
              <w:rPr>
                <w:rFonts w:hint="eastAsia" w:cs="Times New Roman"/>
                <w:color w:val="000000" w:themeColor="text1"/>
                <w:szCs w:val="32"/>
                <w:lang w:bidi="ar"/>
              </w:rPr>
              <w:t>周礼</w:t>
            </w:r>
            <w:r>
              <w:rPr>
                <w:rFonts w:cs="Times New Roman"/>
                <w:color w:val="000000" w:themeColor="text1"/>
                <w:szCs w:val="32"/>
                <w:lang w:bidi="ar"/>
              </w:rPr>
              <w:t>消防救援站占地面积3500㎡，建筑面积1500㎡。</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周礼</w:t>
            </w:r>
            <w:r>
              <w:rPr>
                <w:rFonts w:cs="Times New Roman"/>
                <w:color w:val="000000" w:themeColor="text1"/>
                <w:szCs w:val="32"/>
                <w:lang w:bidi="ar"/>
              </w:rPr>
              <w:t>消防救援站（105.381478，  30.116839）。</w:t>
            </w:r>
          </w:p>
          <w:p>
            <w:pPr>
              <w:ind w:firstLine="640"/>
              <w:rPr>
                <w:rFonts w:cs="Times New Roman"/>
                <w:color w:val="000000" w:themeColor="text1"/>
                <w:szCs w:val="32"/>
                <w:lang w:bidi="ar"/>
              </w:rPr>
            </w:pPr>
            <w:r>
              <w:rPr>
                <w:rFonts w:cs="Times New Roman"/>
                <w:color w:val="000000" w:themeColor="text1"/>
                <w:szCs w:val="32"/>
                <w:lang w:bidi="ar"/>
              </w:rPr>
              <w:t>建设单位：</w:t>
            </w:r>
            <w:r>
              <w:rPr>
                <w:rFonts w:hint="eastAsia" w:cs="Times New Roman"/>
                <w:color w:val="000000" w:themeColor="text1"/>
                <w:szCs w:val="32"/>
                <w:lang w:bidi="ar"/>
              </w:rPr>
              <w:t>周礼</w:t>
            </w:r>
            <w:r>
              <w:rPr>
                <w:rFonts w:cs="Times New Roman"/>
                <w:color w:val="000000" w:themeColor="text1"/>
                <w:szCs w:val="32"/>
                <w:lang w:bidi="ar"/>
              </w:rPr>
              <w:t>消防救援站。资金估算：总计投入700万元。完成时限：</w:t>
            </w:r>
            <w:r>
              <w:rPr>
                <w:rFonts w:cs="Times New Roman"/>
                <w:szCs w:val="32"/>
                <w:lang w:bidi="ar"/>
              </w:rPr>
              <w:t>2035</w:t>
            </w:r>
            <w:r>
              <w:rPr>
                <w:rFonts w:cs="Times New Roman"/>
                <w:color w:val="000000" w:themeColor="text1"/>
                <w:szCs w:val="32"/>
                <w:lang w:bidi="ar"/>
              </w:rPr>
              <w:t>年。</w:t>
            </w:r>
          </w:p>
          <w:p>
            <w:pPr>
              <w:ind w:firstLine="640"/>
              <w:rPr>
                <w:rFonts w:cs="Times New Roman"/>
                <w:color w:val="000000" w:themeColor="text1"/>
                <w:szCs w:val="32"/>
                <w:lang w:bidi="ar"/>
              </w:rPr>
            </w:pPr>
            <w:r>
              <w:rPr>
                <w:rFonts w:cs="Times New Roman"/>
                <w:color w:val="000000" w:themeColor="text1"/>
                <w:szCs w:val="32"/>
                <w:lang w:bidi="ar"/>
              </w:rPr>
              <w:t>2.志愿消防队建设</w:t>
            </w:r>
          </w:p>
          <w:p>
            <w:pPr>
              <w:ind w:firstLine="640"/>
              <w:rPr>
                <w:rFonts w:cs="Times New Roman"/>
                <w:color w:val="000000" w:themeColor="text1"/>
                <w:szCs w:val="32"/>
                <w:lang w:bidi="ar"/>
              </w:rPr>
            </w:pPr>
            <w:r>
              <w:rPr>
                <w:rFonts w:cs="Times New Roman"/>
                <w:color w:val="000000" w:themeColor="text1"/>
                <w:szCs w:val="32"/>
                <w:lang w:bidi="ar"/>
              </w:rPr>
              <w:t>建设内容：</w:t>
            </w:r>
            <w:r>
              <w:rPr>
                <w:rFonts w:hint="eastAsia" w:cs="Times New Roman"/>
                <w:color w:val="000000" w:themeColor="text1"/>
                <w:szCs w:val="32"/>
                <w:lang w:bidi="ar"/>
              </w:rPr>
              <w:t>新建南薰镇双盐村10组</w:t>
            </w:r>
            <w:r>
              <w:rPr>
                <w:rFonts w:cs="Times New Roman"/>
                <w:color w:val="000000" w:themeColor="text1"/>
                <w:szCs w:val="32"/>
                <w:lang w:bidi="ar"/>
              </w:rPr>
              <w:t>、</w:t>
            </w:r>
            <w:r>
              <w:rPr>
                <w:rFonts w:hint="eastAsia" w:cs="Times New Roman"/>
                <w:color w:val="000000" w:themeColor="text1"/>
                <w:szCs w:val="32"/>
                <w:lang w:bidi="ar"/>
              </w:rPr>
              <w:t>新建大平镇太平街、新建</w:t>
            </w:r>
            <w:r>
              <w:rPr>
                <w:rFonts w:cs="Times New Roman"/>
                <w:color w:val="000000" w:themeColor="text1"/>
                <w:szCs w:val="32"/>
                <w:lang w:bidi="ar"/>
              </w:rPr>
              <w:t>千佛乡</w:t>
            </w:r>
            <w:r>
              <w:rPr>
                <w:rFonts w:hint="eastAsia" w:cs="Times New Roman"/>
                <w:color w:val="000000" w:themeColor="text1"/>
                <w:szCs w:val="32"/>
                <w:lang w:bidi="ar"/>
              </w:rPr>
              <w:t>龙佛街东段8号</w:t>
            </w:r>
            <w:r>
              <w:rPr>
                <w:rFonts w:cs="Times New Roman"/>
                <w:color w:val="000000" w:themeColor="text1"/>
                <w:szCs w:val="32"/>
                <w:lang w:bidi="ar"/>
              </w:rPr>
              <w:t>、</w:t>
            </w:r>
            <w:r>
              <w:rPr>
                <w:rFonts w:hint="eastAsia" w:cs="Times New Roman"/>
                <w:color w:val="000000" w:themeColor="text1"/>
                <w:szCs w:val="32"/>
                <w:lang w:bidi="ar"/>
              </w:rPr>
              <w:t>新建拱桥乡槐佛庵2号</w:t>
            </w:r>
            <w:r>
              <w:rPr>
                <w:rFonts w:cs="Times New Roman"/>
                <w:color w:val="000000" w:themeColor="text1"/>
                <w:szCs w:val="32"/>
                <w:lang w:bidi="ar"/>
              </w:rPr>
              <w:t>，增加乡镇消防员32人，采购灭火类装备80余件(套)，抢险救援类装备160余件(套)，个人防护类装备120余件(套)。</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建设性质：分别</w:t>
            </w:r>
            <w:r>
              <w:rPr>
                <w:rFonts w:hint="eastAsia" w:ascii="Times New Roman" w:hAnsi="Times New Roman" w:eastAsia="仿宋" w:cs="Times New Roman"/>
                <w:color w:val="000000" w:themeColor="text1"/>
                <w:sz w:val="32"/>
                <w:szCs w:val="32"/>
                <w:lang w:bidi="ar"/>
              </w:rPr>
              <w:t>新建南薰镇双盐村10组</w:t>
            </w:r>
            <w:r>
              <w:rPr>
                <w:rFonts w:ascii="Times New Roman" w:hAnsi="Times New Roman" w:eastAsia="仿宋" w:cs="Times New Roman"/>
                <w:color w:val="000000" w:themeColor="text1"/>
                <w:sz w:val="32"/>
                <w:szCs w:val="32"/>
                <w:lang w:bidi="ar"/>
              </w:rPr>
              <w:t>350㎡、新建</w:t>
            </w:r>
            <w:r>
              <w:rPr>
                <w:rFonts w:hint="eastAsia" w:ascii="Times New Roman" w:hAnsi="Times New Roman" w:eastAsia="仿宋" w:cs="Times New Roman"/>
                <w:color w:val="000000" w:themeColor="text1"/>
                <w:sz w:val="32"/>
                <w:szCs w:val="32"/>
                <w:lang w:bidi="ar"/>
              </w:rPr>
              <w:t>大平镇太平街</w:t>
            </w:r>
            <w:r>
              <w:rPr>
                <w:rFonts w:ascii="Times New Roman" w:hAnsi="Times New Roman" w:eastAsia="仿宋" w:cs="Times New Roman"/>
                <w:color w:val="000000" w:themeColor="text1"/>
                <w:sz w:val="32"/>
                <w:szCs w:val="32"/>
                <w:lang w:bidi="ar"/>
              </w:rPr>
              <w:t>面积360㎡。千佛乡</w:t>
            </w:r>
            <w:r>
              <w:rPr>
                <w:rFonts w:hint="eastAsia" w:ascii="Times New Roman" w:hAnsi="Times New Roman" w:eastAsia="仿宋" w:cs="Times New Roman"/>
                <w:color w:val="000000" w:themeColor="text1"/>
                <w:sz w:val="32"/>
                <w:szCs w:val="32"/>
                <w:lang w:bidi="ar"/>
              </w:rPr>
              <w:t>龙佛街东段8号</w:t>
            </w:r>
            <w:r>
              <w:rPr>
                <w:rFonts w:ascii="Times New Roman" w:hAnsi="Times New Roman" w:eastAsia="仿宋" w:cs="Times New Roman"/>
                <w:color w:val="000000" w:themeColor="text1"/>
                <w:sz w:val="32"/>
                <w:szCs w:val="32"/>
                <w:lang w:bidi="ar"/>
              </w:rPr>
              <w:t>350㎡、</w:t>
            </w:r>
            <w:r>
              <w:rPr>
                <w:rFonts w:hint="eastAsia" w:ascii="Times New Roman" w:hAnsi="Times New Roman" w:eastAsia="仿宋" w:cs="Times New Roman"/>
                <w:color w:val="000000" w:themeColor="text1"/>
                <w:sz w:val="32"/>
                <w:szCs w:val="32"/>
                <w:lang w:bidi="ar"/>
              </w:rPr>
              <w:t>新建拱桥乡槐佛庵2号</w:t>
            </w:r>
            <w:r>
              <w:rPr>
                <w:rFonts w:ascii="Times New Roman" w:hAnsi="Times New Roman" w:eastAsia="仿宋" w:cs="Times New Roman"/>
                <w:color w:val="000000" w:themeColor="text1"/>
                <w:sz w:val="32"/>
                <w:szCs w:val="32"/>
                <w:lang w:bidi="ar"/>
              </w:rPr>
              <w:t>350㎡</w:t>
            </w:r>
            <w:r>
              <w:rPr>
                <w:rFonts w:hint="eastAsia" w:ascii="Times New Roman" w:hAnsi="Times New Roman" w:eastAsia="仿宋" w:cs="Times New Roman"/>
                <w:color w:val="000000" w:themeColor="text1"/>
                <w:sz w:val="32"/>
                <w:szCs w:val="32"/>
                <w:lang w:bidi="ar"/>
              </w:rPr>
              <w:t>。</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南薰镇双盐村10组（</w:t>
            </w:r>
            <w:r>
              <w:rPr>
                <w:rFonts w:cs="Times New Roman"/>
                <w:color w:val="000000" w:themeColor="text1"/>
                <w:szCs w:val="32"/>
                <w:lang w:bidi="ar"/>
              </w:rPr>
              <w:t>105.242132667007,</w:t>
            </w:r>
            <w:r>
              <w:t xml:space="preserve"> </w:t>
            </w:r>
            <w:r>
              <w:rPr>
                <w:rFonts w:cs="Times New Roman"/>
                <w:color w:val="000000" w:themeColor="text1"/>
                <w:szCs w:val="32"/>
                <w:lang w:bidi="ar"/>
              </w:rPr>
              <w:t>29.8422951099122</w:t>
            </w:r>
            <w:r>
              <w:rPr>
                <w:rFonts w:hint="eastAsia" w:cs="Times New Roman"/>
                <w:color w:val="000000" w:themeColor="text1"/>
                <w:szCs w:val="32"/>
                <w:lang w:bidi="ar"/>
              </w:rPr>
              <w:t>），大平镇太平街</w:t>
            </w:r>
            <w:r>
              <w:rPr>
                <w:rFonts w:cs="Times New Roman"/>
                <w:color w:val="000000" w:themeColor="text1"/>
                <w:szCs w:val="32"/>
                <w:lang w:bidi="ar"/>
              </w:rPr>
              <w:t>（105.25209188,</w:t>
            </w:r>
            <w:r>
              <w:t xml:space="preserve"> </w:t>
            </w:r>
            <w:r>
              <w:rPr>
                <w:rFonts w:cs="Times New Roman"/>
                <w:color w:val="000000" w:themeColor="text1"/>
                <w:szCs w:val="32"/>
                <w:lang w:bidi="ar"/>
              </w:rPr>
              <w:t>29.89497342）、千佛乡</w:t>
            </w:r>
            <w:r>
              <w:rPr>
                <w:rFonts w:hint="eastAsia" w:cs="Times New Roman"/>
                <w:color w:val="000000" w:themeColor="text1"/>
                <w:szCs w:val="32"/>
                <w:lang w:bidi="ar"/>
              </w:rPr>
              <w:t>龙佛街东段8号（</w:t>
            </w:r>
            <w:r>
              <w:rPr>
                <w:rFonts w:cs="Times New Roman"/>
                <w:color w:val="000000" w:themeColor="text1"/>
                <w:szCs w:val="32"/>
                <w:lang w:bidi="ar"/>
              </w:rPr>
              <w:t>105.125799, 29.97231</w:t>
            </w:r>
            <w:r>
              <w:rPr>
                <w:rFonts w:hint="eastAsia" w:cs="Times New Roman"/>
                <w:color w:val="000000" w:themeColor="text1"/>
                <w:szCs w:val="32"/>
                <w:lang w:bidi="ar"/>
              </w:rPr>
              <w:t>）、拱桥乡槐佛庵2号</w:t>
            </w:r>
            <w:r>
              <w:rPr>
                <w:rFonts w:cs="Times New Roman"/>
                <w:color w:val="000000" w:themeColor="text1"/>
                <w:szCs w:val="32"/>
                <w:lang w:bidi="ar"/>
              </w:rPr>
              <w:t>（105.08846,29.935226）。</w:t>
            </w:r>
          </w:p>
          <w:p>
            <w:pPr>
              <w:ind w:firstLine="640"/>
              <w:rPr>
                <w:rFonts w:cs="Times New Roman"/>
                <w:color w:val="000000" w:themeColor="text1"/>
                <w:szCs w:val="32"/>
                <w:lang w:bidi="ar"/>
              </w:rPr>
            </w:pPr>
            <w:r>
              <w:rPr>
                <w:rFonts w:cs="Times New Roman"/>
                <w:color w:val="000000" w:themeColor="text1"/>
                <w:szCs w:val="32"/>
                <w:lang w:bidi="ar"/>
              </w:rPr>
              <w:t>建设单位：安岳县应急管理局</w:t>
            </w:r>
            <w:r>
              <w:rPr>
                <w:rFonts w:hint="eastAsia" w:cs="Times New Roman"/>
                <w:color w:val="000000" w:themeColor="text1"/>
                <w:szCs w:val="32"/>
                <w:lang w:eastAsia="zh-CN" w:bidi="ar"/>
              </w:rPr>
              <w:t>、</w:t>
            </w:r>
            <w:r>
              <w:rPr>
                <w:rFonts w:cs="Times New Roman"/>
                <w:color w:val="000000" w:themeColor="text1"/>
                <w:szCs w:val="32"/>
                <w:lang w:bidi="ar"/>
              </w:rPr>
              <w:t>南薰镇人民政府、</w:t>
            </w:r>
            <w:r>
              <w:rPr>
                <w:rFonts w:hint="eastAsia" w:cs="Times New Roman"/>
                <w:color w:val="000000" w:themeColor="text1"/>
                <w:szCs w:val="32"/>
                <w:lang w:bidi="ar"/>
              </w:rPr>
              <w:t>大平镇人民政府、</w:t>
            </w:r>
            <w:r>
              <w:rPr>
                <w:rFonts w:cs="Times New Roman"/>
                <w:color w:val="000000" w:themeColor="text1"/>
                <w:szCs w:val="32"/>
                <w:lang w:bidi="ar"/>
              </w:rPr>
              <w:t>千佛乡人民政府、拱桥乡人民政府。资金估算：总计投入800万元。完成时限：2035年。</w:t>
            </w:r>
          </w:p>
          <w:p>
            <w:pPr>
              <w:ind w:firstLine="640"/>
              <w:rPr>
                <w:rFonts w:cs="Times New Roman"/>
                <w:color w:val="000000" w:themeColor="text1"/>
                <w:szCs w:val="32"/>
                <w:lang w:bidi="ar"/>
              </w:rPr>
            </w:pPr>
            <w:r>
              <w:rPr>
                <w:rFonts w:cs="Times New Roman"/>
                <w:color w:val="000000" w:themeColor="text1"/>
                <w:szCs w:val="32"/>
                <w:lang w:bidi="ar"/>
              </w:rPr>
              <w:t>3.应急队伍装备建设</w:t>
            </w:r>
          </w:p>
          <w:p>
            <w:pPr>
              <w:ind w:firstLine="640"/>
              <w:rPr>
                <w:rFonts w:cs="Times New Roman"/>
                <w:color w:val="000000" w:themeColor="text1"/>
                <w:szCs w:val="32"/>
                <w:lang w:bidi="ar"/>
              </w:rPr>
            </w:pPr>
            <w:r>
              <w:rPr>
                <w:rFonts w:cs="Times New Roman"/>
                <w:color w:val="000000" w:themeColor="text1"/>
                <w:szCs w:val="32"/>
                <w:lang w:bidi="ar"/>
              </w:rPr>
              <w:t>建设内容：按照《乡镇消防队》（GB/T35547-2017）配备灭火类装备，抢险救援类装备，个人防护类装备，为现有的6支乡镇应急队和78支村（社区）应急分队配备救援装备。</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建设地点：片区乡镇、各村（社区）</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建设单位：安岳县应急管理局，乡镇人民政府。资金估算600万。完成期限：2035年。</w:t>
            </w:r>
          </w:p>
          <w:p>
            <w:pPr>
              <w:ind w:firstLine="640"/>
              <w:rPr>
                <w:rFonts w:cs="Times New Roman"/>
                <w:color w:val="000000" w:themeColor="text1"/>
                <w:szCs w:val="32"/>
                <w:lang w:bidi="ar"/>
              </w:rPr>
            </w:pPr>
            <w:r>
              <w:rPr>
                <w:rFonts w:cs="Times New Roman"/>
                <w:color w:val="000000" w:themeColor="text1"/>
                <w:szCs w:val="32"/>
                <w:lang w:bidi="ar"/>
              </w:rPr>
              <w:t>4.应急物资储备点建设</w:t>
            </w:r>
          </w:p>
          <w:p>
            <w:pPr>
              <w:ind w:firstLine="640"/>
              <w:rPr>
                <w:rFonts w:cs="Times New Roman"/>
                <w:color w:val="000000" w:themeColor="text1"/>
                <w:szCs w:val="32"/>
                <w:lang w:bidi="ar"/>
              </w:rPr>
            </w:pPr>
            <w:r>
              <w:rPr>
                <w:rFonts w:cs="Times New Roman"/>
                <w:color w:val="000000" w:themeColor="text1"/>
                <w:szCs w:val="32"/>
                <w:lang w:bidi="ar"/>
              </w:rPr>
              <w:t>建设内容：升级</w:t>
            </w:r>
            <w:r>
              <w:rPr>
                <w:rFonts w:hint="eastAsia" w:cs="Times New Roman"/>
                <w:color w:val="000000" w:themeColor="text1"/>
                <w:szCs w:val="32"/>
                <w:lang w:bidi="ar"/>
              </w:rPr>
              <w:t>改建</w:t>
            </w:r>
            <w:r>
              <w:rPr>
                <w:rFonts w:cs="Times New Roman"/>
                <w:color w:val="000000" w:themeColor="text1"/>
                <w:szCs w:val="32"/>
                <w:lang w:bidi="ar"/>
              </w:rPr>
              <w:t>周礼镇、镇子镇、大平镇、南薰镇、千佛乡、拱桥乡应急物资储备点。利用乡镇、村常备安置点存放应急物资。</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建设性质：利旧。</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建设地点：改建乡镇应急物资储备库，周礼镇、镇子镇、大平镇、南薰镇、千佛乡、拱桥乡及各村；</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责任单位：安岳县应急管理局</w:t>
            </w:r>
            <w:r>
              <w:rPr>
                <w:rFonts w:hint="eastAsia" w:ascii="Times New Roman" w:hAnsi="Times New Roman" w:eastAsia="仿宋" w:cs="Times New Roman"/>
                <w:color w:val="000000" w:themeColor="text1"/>
                <w:sz w:val="32"/>
                <w:szCs w:val="32"/>
                <w:lang w:eastAsia="zh-CN" w:bidi="ar"/>
              </w:rPr>
              <w:t>、</w:t>
            </w:r>
            <w:r>
              <w:rPr>
                <w:rFonts w:ascii="Times New Roman" w:hAnsi="Times New Roman" w:eastAsia="仿宋" w:cs="Times New Roman"/>
                <w:color w:val="000000" w:themeColor="text1"/>
                <w:sz w:val="32"/>
                <w:szCs w:val="32"/>
                <w:lang w:bidi="ar"/>
              </w:rPr>
              <w:t>乡镇人民政府。资金估算140万。完成期限：2030年。</w:t>
            </w:r>
          </w:p>
          <w:p>
            <w:pPr>
              <w:ind w:firstLine="640"/>
              <w:rPr>
                <w:rFonts w:cs="Times New Roman"/>
                <w:color w:val="000000" w:themeColor="text1"/>
                <w:szCs w:val="32"/>
                <w:lang w:bidi="ar"/>
              </w:rPr>
            </w:pPr>
            <w:r>
              <w:rPr>
                <w:rFonts w:cs="Times New Roman"/>
                <w:color w:val="000000" w:themeColor="text1"/>
                <w:szCs w:val="32"/>
                <w:lang w:bidi="ar"/>
              </w:rPr>
              <w:t>5.应急避难场所规范化建设</w:t>
            </w:r>
          </w:p>
          <w:p>
            <w:pPr>
              <w:ind w:firstLine="640"/>
              <w:rPr>
                <w:rFonts w:cs="Times New Roman"/>
                <w:color w:val="000000" w:themeColor="text1"/>
                <w:szCs w:val="32"/>
                <w:lang w:bidi="ar"/>
              </w:rPr>
            </w:pPr>
            <w:r>
              <w:rPr>
                <w:rFonts w:cs="Times New Roman"/>
                <w:color w:val="000000" w:themeColor="text1"/>
                <w:szCs w:val="32"/>
                <w:lang w:bidi="ar"/>
              </w:rPr>
              <w:t>建设内容：利用现有广场、村委会、学校等宽阔地带，在周礼镇、镇子镇、大平镇、南薰镇、千佛乡、拱桥乡升级改造58处应急避难场所。在周礼镇利用现有</w:t>
            </w:r>
            <w:r>
              <w:rPr>
                <w:rFonts w:hint="eastAsia" w:cs="Times New Roman"/>
                <w:color w:val="000000" w:themeColor="text1"/>
                <w:szCs w:val="32"/>
                <w:lang w:bidi="ar"/>
              </w:rPr>
              <w:t>周礼镇牌坊路185号</w:t>
            </w:r>
            <w:r>
              <w:rPr>
                <w:rFonts w:cs="Times New Roman"/>
                <w:color w:val="000000" w:themeColor="text1"/>
                <w:szCs w:val="32"/>
                <w:lang w:bidi="ar"/>
              </w:rPr>
              <w:t>、</w:t>
            </w:r>
            <w:r>
              <w:rPr>
                <w:rFonts w:hint="eastAsia" w:cs="Times New Roman"/>
                <w:color w:val="000000" w:themeColor="text1"/>
                <w:szCs w:val="32"/>
                <w:lang w:bidi="ar"/>
              </w:rPr>
              <w:t>周礼中学（粉城大道西段）</w:t>
            </w:r>
            <w:r>
              <w:rPr>
                <w:rFonts w:cs="Times New Roman"/>
                <w:color w:val="000000" w:themeColor="text1"/>
                <w:szCs w:val="32"/>
                <w:lang w:bidi="ar"/>
              </w:rPr>
              <w:t>、</w:t>
            </w:r>
            <w:r>
              <w:rPr>
                <w:rFonts w:hint="eastAsia" w:cs="Times New Roman"/>
                <w:color w:val="000000" w:themeColor="text1"/>
                <w:szCs w:val="32"/>
                <w:lang w:bidi="ar"/>
              </w:rPr>
              <w:t>周礼小学（濛溪路13号）、龙桥九年制学校（水月村2组）、宝华九义校（宝华社区禹皇街西段44号）、薯都社区休闲广场、周礼中心幼儿园（薯都社区）、建国村1组、东林村村委会东林村小学、各村(社区)应急避难场所</w:t>
            </w:r>
            <w:r>
              <w:rPr>
                <w:rFonts w:cs="Times New Roman"/>
                <w:color w:val="000000" w:themeColor="text1"/>
                <w:szCs w:val="32"/>
                <w:lang w:bidi="ar"/>
              </w:rPr>
              <w:t>等共建</w:t>
            </w:r>
            <w:r>
              <w:rPr>
                <w:rFonts w:hint="eastAsia" w:cs="Times New Roman"/>
                <w:color w:val="000000" w:themeColor="text1"/>
                <w:szCs w:val="32"/>
                <w:lang w:bidi="ar"/>
              </w:rPr>
              <w:t>31</w:t>
            </w:r>
            <w:r>
              <w:rPr>
                <w:rFonts w:cs="Times New Roman"/>
                <w:color w:val="000000" w:themeColor="text1"/>
                <w:szCs w:val="32"/>
                <w:lang w:bidi="ar"/>
              </w:rPr>
              <w:t>处应急避难场所，总面积：</w:t>
            </w:r>
            <w:r>
              <w:rPr>
                <w:rFonts w:hint="eastAsia" w:cs="Times New Roman"/>
                <w:color w:val="000000" w:themeColor="text1"/>
                <w:szCs w:val="32"/>
                <w:lang w:bidi="ar"/>
              </w:rPr>
              <w:t>34</w:t>
            </w:r>
            <w:r>
              <w:rPr>
                <w:rFonts w:cs="Times New Roman"/>
                <w:color w:val="000000" w:themeColor="text1"/>
                <w:szCs w:val="32"/>
                <w:lang w:bidi="ar"/>
              </w:rPr>
              <w:t>,</w:t>
            </w:r>
            <w:r>
              <w:rPr>
                <w:rFonts w:hint="eastAsia" w:cs="Times New Roman"/>
                <w:color w:val="000000" w:themeColor="text1"/>
                <w:szCs w:val="32"/>
                <w:lang w:bidi="ar"/>
              </w:rPr>
              <w:t>696</w:t>
            </w:r>
            <w:r>
              <w:rPr>
                <w:rFonts w:cs="Times New Roman"/>
                <w:color w:val="000000" w:themeColor="text1"/>
                <w:szCs w:val="32"/>
                <w:lang w:bidi="ar"/>
              </w:rPr>
              <w:t>㎡。在镇子镇利用</w:t>
            </w:r>
            <w:r>
              <w:rPr>
                <w:rFonts w:hint="eastAsia" w:cs="Times New Roman"/>
                <w:color w:val="000000" w:themeColor="text1"/>
                <w:szCs w:val="32"/>
                <w:lang w:bidi="ar"/>
              </w:rPr>
              <w:t>镇子镇政府广场</w:t>
            </w:r>
            <w:r>
              <w:rPr>
                <w:rFonts w:cs="Times New Roman"/>
                <w:color w:val="000000" w:themeColor="text1"/>
                <w:szCs w:val="32"/>
                <w:lang w:bidi="ar"/>
              </w:rPr>
              <w:t>、</w:t>
            </w:r>
            <w:r>
              <w:rPr>
                <w:rFonts w:hint="eastAsia" w:cs="Times New Roman"/>
                <w:color w:val="000000" w:themeColor="text1"/>
                <w:szCs w:val="32"/>
                <w:lang w:bidi="ar"/>
              </w:rPr>
              <w:t>治水村</w:t>
            </w:r>
            <w:r>
              <w:rPr>
                <w:rFonts w:cs="Times New Roman"/>
                <w:color w:val="000000" w:themeColor="text1"/>
                <w:szCs w:val="32"/>
                <w:lang w:bidi="ar"/>
              </w:rPr>
              <w:t>共建</w:t>
            </w:r>
            <w:r>
              <w:rPr>
                <w:rFonts w:hint="eastAsia" w:cs="Times New Roman"/>
                <w:color w:val="000000" w:themeColor="text1"/>
                <w:szCs w:val="32"/>
                <w:lang w:bidi="ar"/>
              </w:rPr>
              <w:t>2</w:t>
            </w:r>
            <w:r>
              <w:rPr>
                <w:rFonts w:cs="Times New Roman"/>
                <w:color w:val="000000" w:themeColor="text1"/>
                <w:szCs w:val="32"/>
                <w:lang w:bidi="ar"/>
              </w:rPr>
              <w:t>处应急避难场所，总面积：</w:t>
            </w:r>
            <w:r>
              <w:rPr>
                <w:rFonts w:hint="eastAsia" w:cs="Times New Roman"/>
                <w:color w:val="000000" w:themeColor="text1"/>
                <w:szCs w:val="32"/>
                <w:lang w:bidi="ar"/>
              </w:rPr>
              <w:t>8</w:t>
            </w:r>
            <w:r>
              <w:rPr>
                <w:rFonts w:cs="Times New Roman"/>
                <w:color w:val="000000" w:themeColor="text1"/>
                <w:szCs w:val="32"/>
                <w:lang w:bidi="ar"/>
              </w:rPr>
              <w:t>,</w:t>
            </w:r>
            <w:r>
              <w:rPr>
                <w:rFonts w:hint="eastAsia" w:cs="Times New Roman"/>
                <w:color w:val="000000" w:themeColor="text1"/>
                <w:szCs w:val="32"/>
                <w:lang w:bidi="ar"/>
              </w:rPr>
              <w:t>500</w:t>
            </w:r>
            <w:r>
              <w:rPr>
                <w:rFonts w:cs="Times New Roman"/>
                <w:color w:val="000000" w:themeColor="text1"/>
                <w:szCs w:val="32"/>
                <w:lang w:bidi="ar"/>
              </w:rPr>
              <w:t>㎡。在大平镇利用</w:t>
            </w:r>
            <w:r>
              <w:rPr>
                <w:rFonts w:hint="eastAsia" w:cs="Times New Roman"/>
                <w:color w:val="000000" w:themeColor="text1"/>
                <w:szCs w:val="32"/>
                <w:lang w:bidi="ar"/>
              </w:rPr>
              <w:t>大平镇九义校</w:t>
            </w:r>
            <w:r>
              <w:rPr>
                <w:rFonts w:cs="Times New Roman"/>
                <w:color w:val="000000" w:themeColor="text1"/>
                <w:szCs w:val="32"/>
                <w:lang w:bidi="ar"/>
              </w:rPr>
              <w:t>、</w:t>
            </w:r>
            <w:r>
              <w:rPr>
                <w:rFonts w:hint="eastAsia" w:cs="Times New Roman"/>
                <w:color w:val="000000" w:themeColor="text1"/>
                <w:szCs w:val="32"/>
                <w:lang w:bidi="ar"/>
              </w:rPr>
              <w:t>大平镇九龙九义校</w:t>
            </w:r>
            <w:r>
              <w:rPr>
                <w:rFonts w:cs="Times New Roman"/>
                <w:color w:val="000000" w:themeColor="text1"/>
                <w:szCs w:val="32"/>
                <w:lang w:bidi="ar"/>
              </w:rPr>
              <w:t>、</w:t>
            </w:r>
            <w:r>
              <w:rPr>
                <w:rFonts w:hint="eastAsia" w:cs="Times New Roman"/>
                <w:color w:val="000000" w:themeColor="text1"/>
                <w:szCs w:val="32"/>
                <w:lang w:bidi="ar"/>
              </w:rPr>
              <w:t>大平镇赵坪小学</w:t>
            </w:r>
            <w:r>
              <w:rPr>
                <w:rFonts w:cs="Times New Roman"/>
                <w:color w:val="000000" w:themeColor="text1"/>
                <w:szCs w:val="32"/>
                <w:lang w:bidi="ar"/>
              </w:rPr>
              <w:t>共建</w:t>
            </w:r>
            <w:r>
              <w:rPr>
                <w:rFonts w:hint="eastAsia" w:cs="Times New Roman"/>
                <w:color w:val="000000" w:themeColor="text1"/>
                <w:szCs w:val="32"/>
                <w:lang w:bidi="ar"/>
              </w:rPr>
              <w:t>3</w:t>
            </w:r>
            <w:r>
              <w:rPr>
                <w:rFonts w:cs="Times New Roman"/>
                <w:color w:val="000000" w:themeColor="text1"/>
                <w:szCs w:val="32"/>
                <w:lang w:bidi="ar"/>
              </w:rPr>
              <w:t>处应急避难场所，总面积：</w:t>
            </w:r>
            <w:r>
              <w:rPr>
                <w:rFonts w:hint="eastAsia" w:cs="Times New Roman"/>
                <w:color w:val="000000" w:themeColor="text1"/>
                <w:szCs w:val="32"/>
                <w:lang w:bidi="ar"/>
              </w:rPr>
              <w:t>7</w:t>
            </w:r>
            <w:r>
              <w:rPr>
                <w:rFonts w:cs="Times New Roman"/>
                <w:color w:val="000000" w:themeColor="text1"/>
                <w:szCs w:val="32"/>
                <w:lang w:bidi="ar"/>
              </w:rPr>
              <w:t>,</w:t>
            </w:r>
            <w:r>
              <w:rPr>
                <w:rFonts w:hint="eastAsia" w:cs="Times New Roman"/>
                <w:color w:val="000000" w:themeColor="text1"/>
                <w:szCs w:val="32"/>
                <w:lang w:bidi="ar"/>
              </w:rPr>
              <w:t>100</w:t>
            </w:r>
            <w:r>
              <w:rPr>
                <w:rFonts w:cs="Times New Roman"/>
                <w:color w:val="000000" w:themeColor="text1"/>
                <w:szCs w:val="32"/>
                <w:lang w:bidi="ar"/>
              </w:rPr>
              <w:t>㎡。</w:t>
            </w:r>
            <w:r>
              <w:rPr>
                <w:rFonts w:hint="eastAsia" w:cs="Times New Roman"/>
                <w:color w:val="000000" w:themeColor="text1"/>
                <w:szCs w:val="32"/>
                <w:lang w:bidi="ar"/>
              </w:rPr>
              <w:t>在</w:t>
            </w:r>
            <w:r>
              <w:rPr>
                <w:rFonts w:cs="Times New Roman"/>
                <w:color w:val="000000" w:themeColor="text1"/>
                <w:szCs w:val="32"/>
                <w:lang w:bidi="ar"/>
              </w:rPr>
              <w:t>南薰镇利用</w:t>
            </w:r>
            <w:r>
              <w:rPr>
                <w:rFonts w:hint="eastAsia" w:cs="Times New Roman"/>
                <w:color w:val="000000" w:themeColor="text1"/>
                <w:szCs w:val="32"/>
                <w:lang w:bidi="ar"/>
              </w:rPr>
              <w:t>南薰九义校、南薰镇广场、南薰镇永峰九义校和规划南薰镇菜市场、报恩村村民委员会及报恩村学校、双盐村村民委员会及市场、太益村村民委员会、田寨村村民委员会办公室外坝子、原田心村办公室及学校、红山村村民委员会</w:t>
            </w:r>
            <w:r>
              <w:rPr>
                <w:rFonts w:cs="Times New Roman"/>
                <w:color w:val="000000" w:themeColor="text1"/>
                <w:szCs w:val="32"/>
                <w:lang w:bidi="ar"/>
              </w:rPr>
              <w:t>共建</w:t>
            </w:r>
            <w:r>
              <w:rPr>
                <w:rFonts w:hint="eastAsia" w:cs="Times New Roman"/>
                <w:color w:val="000000" w:themeColor="text1"/>
                <w:szCs w:val="32"/>
                <w:lang w:bidi="ar"/>
              </w:rPr>
              <w:t>10</w:t>
            </w:r>
            <w:r>
              <w:rPr>
                <w:rFonts w:cs="Times New Roman"/>
                <w:color w:val="000000" w:themeColor="text1"/>
                <w:szCs w:val="32"/>
                <w:lang w:bidi="ar"/>
              </w:rPr>
              <w:t>处应急避难场所，总面积：</w:t>
            </w:r>
            <w:r>
              <w:rPr>
                <w:rFonts w:hint="eastAsia" w:cs="Times New Roman"/>
                <w:color w:val="000000" w:themeColor="text1"/>
                <w:szCs w:val="32"/>
                <w:lang w:bidi="ar"/>
              </w:rPr>
              <w:t>12</w:t>
            </w:r>
            <w:r>
              <w:rPr>
                <w:rFonts w:cs="Times New Roman"/>
                <w:color w:val="000000" w:themeColor="text1"/>
                <w:szCs w:val="32"/>
                <w:lang w:bidi="ar"/>
              </w:rPr>
              <w:t>,000㎡。</w:t>
            </w:r>
            <w:r>
              <w:rPr>
                <w:rFonts w:hint="eastAsia" w:cs="Times New Roman"/>
                <w:color w:val="000000" w:themeColor="text1"/>
                <w:szCs w:val="32"/>
                <w:lang w:bidi="ar"/>
              </w:rPr>
              <w:t>在</w:t>
            </w:r>
            <w:r>
              <w:rPr>
                <w:rFonts w:cs="Times New Roman"/>
                <w:color w:val="000000" w:themeColor="text1"/>
                <w:szCs w:val="32"/>
                <w:lang w:bidi="ar"/>
              </w:rPr>
              <w:t>千佛乡利用千佛乡小学和规划的</w:t>
            </w:r>
            <w:r>
              <w:rPr>
                <w:rFonts w:hint="eastAsia" w:cs="Times New Roman"/>
                <w:color w:val="000000" w:themeColor="text1"/>
                <w:szCs w:val="32"/>
                <w:lang w:bidi="ar"/>
              </w:rPr>
              <w:t>各社区和村民委员会</w:t>
            </w:r>
            <w:r>
              <w:rPr>
                <w:rFonts w:cs="Times New Roman"/>
                <w:color w:val="000000" w:themeColor="text1"/>
                <w:szCs w:val="32"/>
                <w:lang w:bidi="ar"/>
              </w:rPr>
              <w:t>共建</w:t>
            </w:r>
            <w:r>
              <w:rPr>
                <w:rFonts w:hint="eastAsia" w:cs="Times New Roman"/>
                <w:color w:val="000000" w:themeColor="text1"/>
                <w:szCs w:val="32"/>
                <w:lang w:bidi="ar"/>
              </w:rPr>
              <w:t>11</w:t>
            </w:r>
            <w:r>
              <w:rPr>
                <w:rFonts w:cs="Times New Roman"/>
                <w:color w:val="000000" w:themeColor="text1"/>
                <w:szCs w:val="32"/>
                <w:lang w:bidi="ar"/>
              </w:rPr>
              <w:t>处应急避难场所，总面积：</w:t>
            </w:r>
            <w:r>
              <w:rPr>
                <w:rFonts w:hint="eastAsia" w:cs="Times New Roman"/>
                <w:color w:val="000000" w:themeColor="text1"/>
                <w:szCs w:val="32"/>
                <w:lang w:bidi="ar"/>
              </w:rPr>
              <w:t>23</w:t>
            </w:r>
            <w:r>
              <w:rPr>
                <w:rFonts w:cs="Times New Roman"/>
                <w:color w:val="000000" w:themeColor="text1"/>
                <w:szCs w:val="32"/>
                <w:lang w:bidi="ar"/>
              </w:rPr>
              <w:t>,</w:t>
            </w:r>
            <w:r>
              <w:rPr>
                <w:rFonts w:hint="eastAsia" w:cs="Times New Roman"/>
                <w:color w:val="000000" w:themeColor="text1"/>
                <w:szCs w:val="32"/>
                <w:lang w:bidi="ar"/>
              </w:rPr>
              <w:t>0</w:t>
            </w:r>
            <w:r>
              <w:rPr>
                <w:rFonts w:cs="Times New Roman"/>
                <w:color w:val="000000" w:themeColor="text1"/>
                <w:szCs w:val="32"/>
                <w:lang w:bidi="ar"/>
              </w:rPr>
              <w:t>00㎡。在拱桥乡利用</w:t>
            </w:r>
            <w:r>
              <w:rPr>
                <w:rFonts w:hint="eastAsia" w:cs="Times New Roman"/>
                <w:color w:val="000000" w:themeColor="text1"/>
                <w:szCs w:val="32"/>
                <w:lang w:bidi="ar"/>
              </w:rPr>
              <w:t>拱桥小学</w:t>
            </w:r>
            <w:r>
              <w:rPr>
                <w:rFonts w:cs="Times New Roman"/>
                <w:color w:val="000000" w:themeColor="text1"/>
                <w:szCs w:val="32"/>
                <w:lang w:bidi="ar"/>
              </w:rPr>
              <w:t>共建</w:t>
            </w:r>
            <w:r>
              <w:rPr>
                <w:rFonts w:hint="eastAsia" w:cs="Times New Roman"/>
                <w:color w:val="000000" w:themeColor="text1"/>
                <w:szCs w:val="32"/>
                <w:lang w:bidi="ar"/>
              </w:rPr>
              <w:t>1</w:t>
            </w:r>
            <w:r>
              <w:rPr>
                <w:rFonts w:cs="Times New Roman"/>
                <w:color w:val="000000" w:themeColor="text1"/>
                <w:szCs w:val="32"/>
                <w:lang w:bidi="ar"/>
              </w:rPr>
              <w:t>处应急避难场所，总面积：2,676.13㎡。设置应急避难场所标识，打造规范化的应急避难场所，并配备必要的设施、装备、物品。</w:t>
            </w:r>
          </w:p>
          <w:p>
            <w:pPr>
              <w:ind w:firstLine="640"/>
              <w:rPr>
                <w:rFonts w:cs="Times New Roman"/>
                <w:color w:val="000000" w:themeColor="text1"/>
                <w:szCs w:val="32"/>
                <w:lang w:bidi="ar"/>
              </w:rPr>
            </w:pPr>
            <w:r>
              <w:rPr>
                <w:rFonts w:cs="Times New Roman"/>
                <w:color w:val="000000" w:themeColor="text1"/>
                <w:szCs w:val="32"/>
                <w:lang w:bidi="ar"/>
              </w:rPr>
              <w:t>建设地点：周礼镇、镇子镇、大平镇、南薰镇、千佛乡、拱桥乡</w:t>
            </w:r>
          </w:p>
          <w:p>
            <w:pPr>
              <w:ind w:firstLine="640"/>
              <w:rPr>
                <w:rFonts w:cs="Times New Roman"/>
                <w:color w:val="000000" w:themeColor="text1"/>
                <w:szCs w:val="32"/>
                <w:lang w:bidi="ar"/>
              </w:rPr>
            </w:pPr>
            <w:r>
              <w:rPr>
                <w:rFonts w:cs="Times New Roman"/>
                <w:color w:val="000000" w:themeColor="text1"/>
                <w:szCs w:val="32"/>
                <w:lang w:bidi="ar"/>
              </w:rPr>
              <w:t>责任单位：安岳县应急管理局</w:t>
            </w:r>
            <w:r>
              <w:rPr>
                <w:rFonts w:hint="eastAsia" w:cs="Times New Roman"/>
                <w:color w:val="000000" w:themeColor="text1"/>
                <w:szCs w:val="32"/>
                <w:lang w:eastAsia="zh-CN" w:bidi="ar"/>
              </w:rPr>
              <w:t>、</w:t>
            </w:r>
            <w:r>
              <w:rPr>
                <w:rFonts w:cs="Times New Roman"/>
                <w:color w:val="000000" w:themeColor="text1"/>
                <w:szCs w:val="32"/>
                <w:lang w:bidi="ar"/>
              </w:rPr>
              <w:t xml:space="preserve">乡镇人民政府。资金估算1800万元。完成期限：2035年； </w:t>
            </w:r>
          </w:p>
        </w:tc>
      </w:tr>
    </w:tbl>
    <w:p>
      <w:pPr>
        <w:pStyle w:val="4"/>
        <w:rPr>
          <w:rFonts w:cs="Times New Roman"/>
          <w:color w:val="000000" w:themeColor="text1"/>
        </w:rPr>
      </w:pPr>
      <w:bookmarkStart w:id="88" w:name="_Toc9577"/>
      <w:bookmarkStart w:id="89" w:name="_Toc98773659"/>
      <w:bookmarkStart w:id="90" w:name="_Toc91790511"/>
      <w:r>
        <w:rPr>
          <w:rFonts w:cs="Times New Roman"/>
          <w:color w:val="000000" w:themeColor="text1"/>
        </w:rPr>
        <w:t>第五节  推动先进信息技术应用</w:t>
      </w:r>
      <w:bookmarkEnd w:id="88"/>
    </w:p>
    <w:p>
      <w:pPr>
        <w:ind w:firstLine="640"/>
        <w:rPr>
          <w:rFonts w:cs="Times New Roman"/>
          <w:color w:val="000000" w:themeColor="text1"/>
          <w:szCs w:val="32"/>
        </w:rPr>
      </w:pPr>
      <w:bookmarkStart w:id="91" w:name="_Hlk104236577"/>
      <w:r>
        <w:rPr>
          <w:rFonts w:cs="Times New Roman"/>
          <w:color w:val="000000" w:themeColor="text1"/>
          <w:kern w:val="0"/>
          <w:szCs w:val="32"/>
        </w:rPr>
        <w:t>应急指挥分中心建设</w:t>
      </w:r>
      <w:bookmarkEnd w:id="91"/>
      <w:r>
        <w:rPr>
          <w:rFonts w:cs="Times New Roman"/>
          <w:color w:val="000000" w:themeColor="text1"/>
          <w:kern w:val="0"/>
          <w:szCs w:val="32"/>
        </w:rPr>
        <w:t>。</w:t>
      </w:r>
      <w:r>
        <w:rPr>
          <w:rFonts w:cs="Times New Roman"/>
          <w:color w:val="000000" w:themeColor="text1"/>
          <w:szCs w:val="32"/>
        </w:rPr>
        <w:t>推动已有应急管理信息化平台向下延伸，建立DMR应急指挥平台，利用巡查APP完善乡镇信息汇聚能力，建立网上填报约束机制和网络巡查，完善网上一键式智能处置能力，逐步健全应急预案线上线下同步体系。</w:t>
      </w:r>
    </w:p>
    <w:p>
      <w:pPr>
        <w:ind w:firstLine="640"/>
        <w:rPr>
          <w:rFonts w:cs="Times New Roman"/>
          <w:color w:val="000000" w:themeColor="text1"/>
          <w:szCs w:val="32"/>
        </w:rPr>
      </w:pPr>
      <w:bookmarkStart w:id="92" w:name="_Hlk104236603"/>
      <w:r>
        <w:rPr>
          <w:rFonts w:cs="Times New Roman"/>
          <w:bCs/>
          <w:color w:val="000000" w:themeColor="text1"/>
          <w:szCs w:val="32"/>
        </w:rPr>
        <w:t>应急广播系统建设</w:t>
      </w:r>
      <w:bookmarkEnd w:id="92"/>
      <w:r>
        <w:rPr>
          <w:rFonts w:cs="Times New Roman"/>
          <w:bCs/>
          <w:color w:val="000000" w:themeColor="text1"/>
          <w:szCs w:val="32"/>
        </w:rPr>
        <w:t>。</w:t>
      </w:r>
      <w:r>
        <w:rPr>
          <w:rFonts w:cs="Times New Roman"/>
          <w:color w:val="000000" w:themeColor="text1"/>
          <w:szCs w:val="32"/>
        </w:rPr>
        <w:t>利用安岳广播村村通无线系统功能，以广播电视传输覆盖网为基础，完善应急广播主动发布系统，建立应急信号主备传输链路，在各乡镇、村（社区）部署应急广播主动发布终端系统，实现人口覆盖率达到95%以上。</w:t>
      </w:r>
    </w:p>
    <w:p>
      <w:pPr>
        <w:ind w:firstLine="640"/>
        <w:rPr>
          <w:rFonts w:cs="Times New Roman"/>
          <w:color w:val="000000" w:themeColor="text1"/>
          <w:szCs w:val="32"/>
        </w:rPr>
      </w:pPr>
      <w:r>
        <w:rPr>
          <w:rFonts w:cs="Times New Roman"/>
          <w:bCs/>
          <w:color w:val="000000" w:themeColor="text1"/>
          <w:szCs w:val="32"/>
        </w:rPr>
        <w:t>网络通信系统建设。</w:t>
      </w:r>
      <w:r>
        <w:rPr>
          <w:rFonts w:cs="Times New Roman"/>
          <w:color w:val="000000" w:themeColor="text1"/>
          <w:szCs w:val="32"/>
        </w:rPr>
        <w:t>建立无线电短波、超短波通信系统，配置</w:t>
      </w:r>
      <w:r>
        <w:fldChar w:fldCharType="begin"/>
      </w:r>
      <w:r>
        <w:instrText xml:space="preserve"> HYPERLINK "https://www.so.com/link?m=bkwIT8P/ZhvpC4WfknFUtkGQEndO9emWr2cF1go360nS31e+0epLsDqAbY+hkz7fubf5b/4CbxgUFwnGgKxyPMNISPDtAhVZl+tCB3j/Kl4V0FsuD4om8jesCxwb7fFc3PdGE7kHcaCOrmRp/EH5r59qip1rRwE145PRjiXQrIjDc0OBE0QjrwDIUFL7ZIBK1" \t "https://www.so.com/_blank" </w:instrText>
      </w:r>
      <w:r>
        <w:fldChar w:fldCharType="separate"/>
      </w:r>
      <w:r>
        <w:rPr>
          <w:rFonts w:cs="Times New Roman"/>
          <w:color w:val="000000" w:themeColor="text1"/>
          <w:szCs w:val="32"/>
        </w:rPr>
        <w:t>移动便携卫星4G基站</w:t>
      </w:r>
      <w:r>
        <w:rPr>
          <w:rFonts w:cs="Times New Roman"/>
          <w:color w:val="000000" w:themeColor="text1"/>
          <w:szCs w:val="32"/>
        </w:rPr>
        <w:fldChar w:fldCharType="end"/>
      </w:r>
      <w:r>
        <w:rPr>
          <w:rFonts w:cs="Times New Roman"/>
          <w:color w:val="000000" w:themeColor="text1"/>
          <w:szCs w:val="32"/>
        </w:rPr>
        <w:t>，确保应急通讯畅通。运用手机、微信群、卫星电话、手持对讲机等信息化手段，构建信息通联平台，实现灾情反馈、指令下达、信息传递顺畅高效。</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ind w:firstLine="0" w:firstLineChars="0"/>
              <w:jc w:val="center"/>
              <w:rPr>
                <w:rFonts w:cs="Times New Roman"/>
                <w:b/>
                <w:color w:val="000000" w:themeColor="text1"/>
                <w:szCs w:val="32"/>
              </w:rPr>
            </w:pPr>
            <w:r>
              <w:rPr>
                <w:rFonts w:cs="Times New Roman"/>
                <w:b/>
                <w:color w:val="000000" w:themeColor="text1"/>
                <w:szCs w:val="32"/>
              </w:rPr>
              <w:t>专栏5：先进技术应用重点工程</w:t>
            </w:r>
          </w:p>
          <w:p>
            <w:pPr>
              <w:ind w:firstLine="518" w:firstLineChars="162"/>
              <w:rPr>
                <w:rFonts w:cs="Times New Roman"/>
                <w:color w:val="000000" w:themeColor="text1"/>
                <w:szCs w:val="32"/>
              </w:rPr>
            </w:pPr>
            <w:r>
              <w:rPr>
                <w:rFonts w:cs="Times New Roman"/>
                <w:color w:val="000000" w:themeColor="text1"/>
                <w:szCs w:val="32"/>
              </w:rPr>
              <w:t>1.应急指挥分中心建设</w:t>
            </w:r>
          </w:p>
          <w:p>
            <w:pPr>
              <w:ind w:firstLine="640"/>
              <w:rPr>
                <w:rFonts w:cs="Times New Roman"/>
                <w:color w:val="000000" w:themeColor="text1"/>
                <w:szCs w:val="32"/>
              </w:rPr>
            </w:pPr>
            <w:r>
              <w:rPr>
                <w:rFonts w:cs="Times New Roman"/>
                <w:color w:val="000000" w:themeColor="text1"/>
                <w:szCs w:val="32"/>
              </w:rPr>
              <w:t>建设内容：</w:t>
            </w:r>
            <w:r>
              <w:rPr>
                <w:rFonts w:hint="eastAsia" w:cs="Times New Roman"/>
                <w:color w:val="000000" w:themeColor="text1"/>
                <w:szCs w:val="32"/>
              </w:rPr>
              <w:t>共</w:t>
            </w:r>
            <w:r>
              <w:rPr>
                <w:rFonts w:cs="Times New Roman"/>
                <w:color w:val="000000" w:themeColor="text1"/>
                <w:szCs w:val="32"/>
              </w:rPr>
              <w:t>建</w:t>
            </w:r>
            <w:r>
              <w:rPr>
                <w:rFonts w:cs="Times New Roman"/>
                <w:color w:val="000000" w:themeColor="text1"/>
                <w:szCs w:val="32"/>
                <w:lang w:bidi="ar"/>
              </w:rPr>
              <w:t>周礼镇、镇子镇、大平镇、南薰镇、千佛乡、拱桥乡</w:t>
            </w:r>
            <w:r>
              <w:rPr>
                <w:rFonts w:cs="Times New Roman"/>
                <w:color w:val="000000" w:themeColor="text1"/>
                <w:szCs w:val="32"/>
              </w:rPr>
              <w:t>应急指挥中心，</w:t>
            </w:r>
            <w:r>
              <w:rPr>
                <w:rFonts w:hint="eastAsia" w:cs="Times New Roman"/>
                <w:color w:val="000000" w:themeColor="text1"/>
                <w:szCs w:val="32"/>
              </w:rPr>
              <w:t>主要</w:t>
            </w:r>
            <w:r>
              <w:rPr>
                <w:rFonts w:cs="Times New Roman"/>
                <w:color w:val="000000" w:themeColor="text1"/>
                <w:szCs w:val="32"/>
              </w:rPr>
              <w:t>依托乡镇</w:t>
            </w:r>
            <w:r>
              <w:rPr>
                <w:rFonts w:hint="eastAsia" w:cs="Times New Roman"/>
                <w:color w:val="000000" w:themeColor="text1"/>
                <w:szCs w:val="32"/>
              </w:rPr>
              <w:t>原有</w:t>
            </w:r>
            <w:r>
              <w:rPr>
                <w:rFonts w:cs="Times New Roman"/>
                <w:color w:val="000000" w:themeColor="text1"/>
                <w:szCs w:val="32"/>
              </w:rPr>
              <w:t>视频会议系统</w:t>
            </w:r>
            <w:r>
              <w:rPr>
                <w:rFonts w:hint="eastAsia" w:cs="Times New Roman"/>
                <w:color w:val="000000" w:themeColor="text1"/>
                <w:szCs w:val="32"/>
              </w:rPr>
              <w:t>用房</w:t>
            </w:r>
            <w:r>
              <w:rPr>
                <w:rFonts w:cs="Times New Roman"/>
                <w:color w:val="000000" w:themeColor="text1"/>
                <w:szCs w:val="32"/>
              </w:rPr>
              <w:t>，与县级DMR应急指挥系统建立互通，建立乡镇应急指挥分中心，配备应急指挥终端，实现灾害预警信息及时发布、事故的及时上报、应急救援有序实施，第一时间开展先期处置工作。</w:t>
            </w:r>
          </w:p>
          <w:p>
            <w:pPr>
              <w:ind w:firstLine="640"/>
              <w:rPr>
                <w:rFonts w:cs="Times New Roman"/>
                <w:color w:val="000000" w:themeColor="text1"/>
                <w:szCs w:val="32"/>
              </w:rPr>
            </w:pPr>
            <w:r>
              <w:rPr>
                <w:rFonts w:cs="Times New Roman"/>
                <w:color w:val="000000" w:themeColor="text1"/>
                <w:szCs w:val="32"/>
              </w:rPr>
              <w:t>建设性质：</w:t>
            </w:r>
            <w:r>
              <w:rPr>
                <w:rFonts w:hint="eastAsia" w:cs="Times New Roman"/>
                <w:color w:val="000000" w:themeColor="text1"/>
                <w:szCs w:val="32"/>
              </w:rPr>
              <w:t>利用现有</w:t>
            </w:r>
            <w:r>
              <w:rPr>
                <w:rFonts w:cs="Times New Roman"/>
                <w:color w:val="000000" w:themeColor="text1"/>
                <w:szCs w:val="32"/>
                <w:lang w:bidi="ar"/>
              </w:rPr>
              <w:t>周礼镇、镇子镇、大平镇、南薰镇、千佛乡、拱桥乡</w:t>
            </w:r>
            <w:r>
              <w:rPr>
                <w:rFonts w:cs="Times New Roman"/>
                <w:color w:val="000000" w:themeColor="text1"/>
                <w:szCs w:val="32"/>
              </w:rPr>
              <w:t>乡镇视频会议，</w:t>
            </w:r>
            <w:r>
              <w:rPr>
                <w:rFonts w:hint="eastAsia" w:cs="Times New Roman"/>
                <w:color w:val="000000" w:themeColor="text1"/>
                <w:szCs w:val="32"/>
              </w:rPr>
              <w:t>在各</w:t>
            </w:r>
            <w:r>
              <w:rPr>
                <w:rFonts w:cs="Times New Roman"/>
                <w:color w:val="000000" w:themeColor="text1"/>
                <w:szCs w:val="32"/>
              </w:rPr>
              <w:t>乡镇原有视频会议</w:t>
            </w:r>
            <w:r>
              <w:rPr>
                <w:rFonts w:hint="eastAsia" w:cs="Times New Roman"/>
                <w:color w:val="000000" w:themeColor="text1"/>
                <w:szCs w:val="32"/>
              </w:rPr>
              <w:t>系统基础上共</w:t>
            </w:r>
            <w:r>
              <w:rPr>
                <w:rFonts w:cs="Times New Roman"/>
                <w:color w:val="000000" w:themeColor="text1"/>
                <w:szCs w:val="32"/>
              </w:rPr>
              <w:t>建乡镇应急指挥中心。</w:t>
            </w:r>
          </w:p>
          <w:p>
            <w:pPr>
              <w:ind w:firstLine="640"/>
              <w:rPr>
                <w:rFonts w:cs="Times New Roman"/>
                <w:color w:val="000000" w:themeColor="text1"/>
                <w:szCs w:val="32"/>
              </w:rPr>
            </w:pPr>
            <w:r>
              <w:rPr>
                <w:rFonts w:cs="Times New Roman"/>
                <w:color w:val="000000" w:themeColor="text1"/>
                <w:szCs w:val="32"/>
              </w:rPr>
              <w:t>建设单位：</w:t>
            </w:r>
            <w:r>
              <w:rPr>
                <w:rFonts w:cs="Times New Roman"/>
                <w:color w:val="000000" w:themeColor="text1"/>
                <w:szCs w:val="32"/>
                <w:lang w:bidi="ar"/>
              </w:rPr>
              <w:t>安岳县应急管理局</w:t>
            </w:r>
            <w:r>
              <w:rPr>
                <w:rFonts w:cs="Times New Roman"/>
                <w:color w:val="000000" w:themeColor="text1"/>
                <w:szCs w:val="32"/>
              </w:rPr>
              <w:t>。资金估算：总计投入600万元。完成时限：2035年。</w:t>
            </w:r>
          </w:p>
          <w:p>
            <w:pPr>
              <w:ind w:firstLine="643"/>
              <w:jc w:val="left"/>
              <w:rPr>
                <w:rFonts w:cs="Times New Roman"/>
                <w:b/>
                <w:color w:val="000000" w:themeColor="text1"/>
                <w:szCs w:val="32"/>
              </w:rPr>
            </w:pPr>
            <w:r>
              <w:rPr>
                <w:rFonts w:cs="Times New Roman"/>
                <w:b/>
                <w:color w:val="000000" w:themeColor="text1"/>
                <w:szCs w:val="32"/>
              </w:rPr>
              <w:t>2.应急广播系统建设</w:t>
            </w:r>
          </w:p>
          <w:p>
            <w:pPr>
              <w:ind w:firstLine="640"/>
              <w:rPr>
                <w:rFonts w:cs="Times New Roman"/>
                <w:color w:val="000000" w:themeColor="text1"/>
                <w:szCs w:val="32"/>
              </w:rPr>
            </w:pPr>
            <w:r>
              <w:rPr>
                <w:rFonts w:cs="Times New Roman"/>
                <w:color w:val="000000" w:themeColor="text1"/>
                <w:szCs w:val="32"/>
              </w:rPr>
              <w:t>建设内容：在各乡镇、村（社区）</w:t>
            </w:r>
            <w:r>
              <w:rPr>
                <w:rFonts w:cs="Times New Roman"/>
                <w:color w:val="000000" w:themeColor="text1"/>
              </w:rPr>
              <w:t>升级</w:t>
            </w:r>
            <w:r>
              <w:rPr>
                <w:rFonts w:cs="Times New Roman"/>
                <w:color w:val="000000" w:themeColor="text1"/>
                <w:szCs w:val="32"/>
              </w:rPr>
              <w:t>1套应急广播指挥调度系统，以广播电视网络为基础，完善应急广播主动发布系统，建立应急信号主备传输链路，在各乡镇、村（社区）部署应急广播主动发布终端系统。</w:t>
            </w:r>
          </w:p>
          <w:p>
            <w:pPr>
              <w:ind w:firstLine="640"/>
              <w:rPr>
                <w:rFonts w:cs="Times New Roman"/>
                <w:color w:val="000000" w:themeColor="text1"/>
                <w:szCs w:val="32"/>
              </w:rPr>
            </w:pPr>
            <w:r>
              <w:rPr>
                <w:rFonts w:cs="Times New Roman"/>
                <w:color w:val="000000" w:themeColor="text1"/>
                <w:szCs w:val="32"/>
              </w:rPr>
              <w:t>建设地点：各乡镇、村（社区）。</w:t>
            </w:r>
          </w:p>
          <w:p>
            <w:pPr>
              <w:ind w:firstLine="640"/>
              <w:rPr>
                <w:rFonts w:cs="Times New Roman"/>
                <w:color w:val="000000" w:themeColor="text1"/>
                <w:szCs w:val="32"/>
              </w:rPr>
            </w:pPr>
            <w:r>
              <w:rPr>
                <w:rFonts w:cs="Times New Roman"/>
                <w:color w:val="000000" w:themeColor="text1"/>
                <w:szCs w:val="32"/>
              </w:rPr>
              <w:t>责任单位：</w:t>
            </w:r>
            <w:r>
              <w:rPr>
                <w:rFonts w:hint="eastAsia" w:cs="Times New Roman"/>
                <w:color w:val="000000" w:themeColor="text1"/>
                <w:szCs w:val="32"/>
              </w:rPr>
              <w:t>安岳县</w:t>
            </w:r>
            <w:r>
              <w:rPr>
                <w:rFonts w:cs="Times New Roman"/>
                <w:color w:val="000000" w:themeColor="text1"/>
                <w:szCs w:val="32"/>
              </w:rPr>
              <w:t>文化广</w:t>
            </w:r>
            <w:r>
              <w:rPr>
                <w:rFonts w:hint="eastAsia" w:cs="Times New Roman"/>
                <w:color w:val="000000" w:themeColor="text1"/>
                <w:szCs w:val="32"/>
              </w:rPr>
              <w:t>播电视</w:t>
            </w:r>
            <w:r>
              <w:rPr>
                <w:rFonts w:cs="Times New Roman"/>
                <w:color w:val="000000" w:themeColor="text1"/>
                <w:szCs w:val="32"/>
              </w:rPr>
              <w:t>和旅游局、乡镇人民政府。资金估算600万元。完成期限：2030年。</w:t>
            </w:r>
          </w:p>
        </w:tc>
      </w:tr>
    </w:tbl>
    <w:p>
      <w:pPr>
        <w:pStyle w:val="4"/>
        <w:rPr>
          <w:rFonts w:cs="Times New Roman"/>
          <w:color w:val="000000" w:themeColor="text1"/>
        </w:rPr>
      </w:pPr>
      <w:bookmarkStart w:id="93" w:name="_Toc19138"/>
      <w:r>
        <w:rPr>
          <w:rFonts w:cs="Times New Roman"/>
          <w:color w:val="000000" w:themeColor="text1"/>
        </w:rPr>
        <w:t>第六节  构建应急管理共建共治共享格局</w:t>
      </w:r>
      <w:bookmarkEnd w:id="93"/>
    </w:p>
    <w:p>
      <w:pPr>
        <w:ind w:firstLine="643"/>
        <w:rPr>
          <w:rFonts w:cs="Times New Roman"/>
          <w:color w:val="000000" w:themeColor="text1"/>
          <w:szCs w:val="32"/>
        </w:rPr>
      </w:pPr>
      <w:bookmarkStart w:id="94" w:name="_Hlk104239413"/>
      <w:r>
        <w:rPr>
          <w:rFonts w:cs="Times New Roman"/>
          <w:b/>
          <w:bCs/>
          <w:color w:val="000000" w:themeColor="text1"/>
          <w:szCs w:val="32"/>
        </w:rPr>
        <w:t>提升全民安全应急素质</w:t>
      </w:r>
      <w:bookmarkEnd w:id="94"/>
      <w:r>
        <w:rPr>
          <w:rFonts w:cs="Times New Roman"/>
          <w:color w:val="000000" w:themeColor="text1"/>
          <w:szCs w:val="32"/>
        </w:rPr>
        <w:t>。加强安全素质国民教育和应急管理法治宣传，结合防灾减灾日、安全生产月、消防宣传月等节点，开展形式多样的宣教活动，开展安全文化建设示范单位创建。深入推进安全宣传“五进”活动，利用微博、微信、短视频、AR、VR等手段加强公益宣传，普及安全知识，提高全民防灾避险意识。推动建立企业、村（社区）、居民家庭的自救互救、邻里相助机制。</w:t>
      </w:r>
    </w:p>
    <w:p>
      <w:pPr>
        <w:ind w:firstLine="640"/>
        <w:rPr>
          <w:rFonts w:cs="Times New Roman"/>
          <w:color w:val="000000" w:themeColor="text1"/>
          <w:szCs w:val="32"/>
        </w:rPr>
      </w:pPr>
      <w:bookmarkStart w:id="95" w:name="_Hlk104239425"/>
      <w:bookmarkStart w:id="96" w:name="_Hlk105056341"/>
      <w:r>
        <w:rPr>
          <w:rFonts w:cs="Times New Roman"/>
          <w:color w:val="000000" w:themeColor="text1"/>
          <w:szCs w:val="32"/>
        </w:rPr>
        <w:t>完善社会协同防范</w:t>
      </w:r>
      <w:bookmarkEnd w:id="95"/>
      <w:r>
        <w:rPr>
          <w:rFonts w:cs="Times New Roman"/>
          <w:color w:val="000000" w:themeColor="text1"/>
          <w:szCs w:val="32"/>
        </w:rPr>
        <w:t>。推进社会治理协同机制建设，增强协同合作理念，完善协同运行机制，加强社会组织建设。健全防治结合、联防联控、群防群控的工作机制，完善乡镇动员、社会救助、社会力量的联动机制，引导社会公众积极参与突发事件应对工作，开展常态化应急疏散演练</w:t>
      </w:r>
      <w:bookmarkEnd w:id="96"/>
      <w:r>
        <w:rPr>
          <w:rFonts w:cs="Times New Roman"/>
          <w:color w:val="000000" w:themeColor="text1"/>
          <w:szCs w:val="32"/>
        </w:rPr>
        <w:t>。</w:t>
      </w:r>
    </w:p>
    <w:p>
      <w:pPr>
        <w:ind w:firstLine="640"/>
        <w:rPr>
          <w:rFonts w:cs="Times New Roman"/>
          <w:color w:val="000000" w:themeColor="text1"/>
          <w:szCs w:val="32"/>
        </w:rPr>
      </w:pPr>
      <w:bookmarkStart w:id="97" w:name="_Hlk104239449"/>
      <w:r>
        <w:rPr>
          <w:rFonts w:cs="Times New Roman"/>
          <w:color w:val="000000" w:themeColor="text1"/>
          <w:szCs w:val="32"/>
        </w:rPr>
        <w:t>推进安全示范社区、省级安全社区创建</w:t>
      </w:r>
      <w:bookmarkEnd w:id="97"/>
      <w:r>
        <w:rPr>
          <w:rFonts w:cs="Times New Roman"/>
          <w:color w:val="000000" w:themeColor="text1"/>
          <w:szCs w:val="32"/>
        </w:rPr>
        <w:t>。持续推进安全示范社区、省级安全社区建设，统筹推动应急管理宣传教育场所建设，大力开展“综合减灾示范社区”“省级安全社区”创建活动，提高社区应急规范化水平。</w:t>
      </w:r>
    </w:p>
    <w:tbl>
      <w:tblPr>
        <w:tblStyle w:val="20"/>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tcBorders>
              <w:top w:val="single" w:color="auto" w:sz="4" w:space="0"/>
              <w:left w:val="single" w:color="auto" w:sz="4" w:space="0"/>
              <w:bottom w:val="single" w:color="auto" w:sz="4" w:space="0"/>
              <w:right w:val="single" w:color="auto" w:sz="4" w:space="0"/>
            </w:tcBorders>
          </w:tcPr>
          <w:p>
            <w:pPr>
              <w:ind w:firstLine="0" w:firstLineChars="0"/>
              <w:jc w:val="center"/>
              <w:rPr>
                <w:rFonts w:cs="Times New Roman"/>
                <w:b/>
                <w:color w:val="000000" w:themeColor="text1"/>
                <w:szCs w:val="32"/>
              </w:rPr>
            </w:pPr>
            <w:r>
              <w:rPr>
                <w:rFonts w:cs="Times New Roman"/>
                <w:b/>
                <w:color w:val="000000" w:themeColor="text1"/>
                <w:szCs w:val="32"/>
              </w:rPr>
              <w:t>专栏6：共建共治共享重点工程</w:t>
            </w:r>
          </w:p>
          <w:p>
            <w:pPr>
              <w:ind w:firstLine="640"/>
              <w:rPr>
                <w:rFonts w:cs="Times New Roman"/>
                <w:color w:val="000000" w:themeColor="text1"/>
                <w:szCs w:val="32"/>
              </w:rPr>
            </w:pPr>
            <w:r>
              <w:rPr>
                <w:rFonts w:cs="Times New Roman"/>
                <w:color w:val="000000" w:themeColor="text1"/>
                <w:szCs w:val="32"/>
              </w:rPr>
              <w:t>1.应急宣教阵地建设</w:t>
            </w:r>
          </w:p>
          <w:p>
            <w:pPr>
              <w:ind w:firstLine="640"/>
              <w:rPr>
                <w:rFonts w:cs="Times New Roman"/>
                <w:color w:val="000000" w:themeColor="text1"/>
                <w:szCs w:val="32"/>
              </w:rPr>
            </w:pPr>
            <w:r>
              <w:rPr>
                <w:rFonts w:cs="Times New Roman"/>
                <w:color w:val="000000" w:themeColor="text1"/>
                <w:szCs w:val="32"/>
              </w:rPr>
              <w:t>建设内容：持续推进安全生产“五进”活动，于片区内工业园、企业、各村（社区）的党员活动中心设置村级宣教场所，开展宣传培训；学校开展应急宣教进课堂活动，培训儿童和青少年。</w:t>
            </w:r>
          </w:p>
          <w:p>
            <w:pPr>
              <w:ind w:firstLine="640"/>
              <w:rPr>
                <w:rFonts w:cs="Times New Roman"/>
                <w:color w:val="000000" w:themeColor="text1"/>
                <w:szCs w:val="32"/>
              </w:rPr>
            </w:pPr>
            <w:r>
              <w:rPr>
                <w:rFonts w:cs="Times New Roman"/>
                <w:color w:val="000000" w:themeColor="text1"/>
                <w:szCs w:val="32"/>
              </w:rPr>
              <w:t>建设地点：工业园、企业、各村（社区）党员活动中心，各学校</w:t>
            </w:r>
          </w:p>
          <w:p>
            <w:pPr>
              <w:ind w:firstLine="0" w:firstLineChars="0"/>
              <w:rPr>
                <w:rFonts w:cs="Times New Roman"/>
                <w:color w:val="000000" w:themeColor="text1"/>
                <w:szCs w:val="32"/>
              </w:rPr>
            </w:pPr>
            <w:r>
              <w:rPr>
                <w:rFonts w:cs="Times New Roman"/>
                <w:color w:val="000000" w:themeColor="text1"/>
                <w:szCs w:val="32"/>
              </w:rPr>
              <w:t xml:space="preserve">    责任单位：</w:t>
            </w:r>
            <w:r>
              <w:rPr>
                <w:rFonts w:cs="Times New Roman"/>
                <w:color w:val="000000" w:themeColor="text1"/>
                <w:szCs w:val="32"/>
                <w:lang w:bidi="ar"/>
              </w:rPr>
              <w:t>安岳县应急管理局</w:t>
            </w:r>
            <w:r>
              <w:rPr>
                <w:rFonts w:cs="Times New Roman"/>
                <w:color w:val="000000" w:themeColor="text1"/>
                <w:szCs w:val="32"/>
              </w:rPr>
              <w:t>。资金估算360万元（含企业资金）。完成期限：2030年。</w:t>
            </w:r>
          </w:p>
          <w:p>
            <w:pPr>
              <w:ind w:firstLine="643"/>
              <w:rPr>
                <w:rFonts w:cs="Times New Roman"/>
                <w:b/>
                <w:bCs/>
                <w:color w:val="000000" w:themeColor="text1"/>
                <w:szCs w:val="32"/>
              </w:rPr>
            </w:pPr>
            <w:r>
              <w:rPr>
                <w:rFonts w:cs="Times New Roman"/>
                <w:b/>
                <w:bCs/>
                <w:color w:val="000000" w:themeColor="text1"/>
                <w:szCs w:val="32"/>
              </w:rPr>
              <w:t>2.</w:t>
            </w:r>
            <w:r>
              <w:rPr>
                <w:rFonts w:cs="Times New Roman"/>
                <w:color w:val="000000" w:themeColor="text1"/>
                <w:szCs w:val="32"/>
              </w:rPr>
              <w:t>应急文化广场建设</w:t>
            </w:r>
          </w:p>
          <w:p>
            <w:pPr>
              <w:widowControl/>
              <w:ind w:firstLine="640"/>
              <w:jc w:val="left"/>
              <w:rPr>
                <w:rFonts w:cs="Times New Roman"/>
                <w:color w:val="000000" w:themeColor="text1"/>
                <w:szCs w:val="32"/>
              </w:rPr>
            </w:pPr>
            <w:r>
              <w:rPr>
                <w:rFonts w:cs="Times New Roman"/>
                <w:color w:val="000000" w:themeColor="text1"/>
                <w:szCs w:val="32"/>
              </w:rPr>
              <w:t>建设内容：</w:t>
            </w:r>
            <w:r>
              <w:rPr>
                <w:rFonts w:cs="Times New Roman"/>
                <w:color w:val="000000" w:themeColor="text1"/>
                <w:kern w:val="0"/>
                <w:szCs w:val="32"/>
                <w:lang w:bidi="ar"/>
              </w:rPr>
              <w:t>在6个乡镇规划的</w:t>
            </w:r>
            <w:r>
              <w:rPr>
                <w:rFonts w:cs="Times New Roman"/>
                <w:color w:val="000000" w:themeColor="text1"/>
                <w:szCs w:val="32"/>
              </w:rPr>
              <w:t>文化活动站、聚居点全民健身广场建设21个应急文化广场，设置应急知识科普专栏，</w:t>
            </w:r>
            <w:r>
              <w:rPr>
                <w:rFonts w:cs="Times New Roman"/>
                <w:color w:val="000000" w:themeColor="text1"/>
                <w:kern w:val="0"/>
                <w:szCs w:val="32"/>
                <w:lang w:bidi="ar"/>
              </w:rPr>
              <w:t>增加应急知识科普书籍、应急管理时事资讯等文化内容。</w:t>
            </w:r>
          </w:p>
          <w:p>
            <w:pPr>
              <w:ind w:firstLine="640"/>
              <w:rPr>
                <w:rFonts w:cs="Times New Roman"/>
                <w:color w:val="000000" w:themeColor="text1"/>
                <w:szCs w:val="32"/>
              </w:rPr>
            </w:pPr>
            <w:r>
              <w:rPr>
                <w:rFonts w:cs="Times New Roman"/>
                <w:color w:val="000000" w:themeColor="text1"/>
                <w:szCs w:val="32"/>
              </w:rPr>
              <w:t>建设地点：企业、乡镇文化活动站、聚居点全民健身广场</w:t>
            </w:r>
          </w:p>
          <w:p>
            <w:pPr>
              <w:ind w:firstLine="640"/>
              <w:rPr>
                <w:rFonts w:cs="Times New Roman"/>
                <w:color w:val="000000" w:themeColor="text1"/>
                <w:szCs w:val="32"/>
              </w:rPr>
            </w:pPr>
            <w:r>
              <w:rPr>
                <w:rFonts w:cs="Times New Roman"/>
                <w:color w:val="000000" w:themeColor="text1"/>
                <w:szCs w:val="32"/>
              </w:rPr>
              <w:t>责任单位：</w:t>
            </w:r>
            <w:r>
              <w:rPr>
                <w:rFonts w:cs="Times New Roman"/>
                <w:color w:val="000000" w:themeColor="text1"/>
                <w:szCs w:val="32"/>
                <w:lang w:bidi="ar"/>
              </w:rPr>
              <w:t>安岳县应急管理局</w:t>
            </w:r>
            <w:r>
              <w:rPr>
                <w:rFonts w:cs="Times New Roman"/>
                <w:color w:val="000000" w:themeColor="text1"/>
                <w:szCs w:val="32"/>
              </w:rPr>
              <w:t>。资金估算105万元。完成期限：2030年。</w:t>
            </w:r>
          </w:p>
          <w:p>
            <w:pPr>
              <w:ind w:firstLine="640"/>
              <w:rPr>
                <w:rFonts w:cs="Times New Roman"/>
                <w:color w:val="000000" w:themeColor="text1"/>
                <w:szCs w:val="32"/>
              </w:rPr>
            </w:pPr>
            <w:r>
              <w:rPr>
                <w:rFonts w:cs="Times New Roman"/>
                <w:color w:val="000000" w:themeColor="text1"/>
                <w:szCs w:val="32"/>
              </w:rPr>
              <w:t>3. 综合减灾示范社区建设</w:t>
            </w:r>
          </w:p>
          <w:p>
            <w:pPr>
              <w:ind w:firstLine="640"/>
              <w:rPr>
                <w:rFonts w:cs="Times New Roman"/>
                <w:color w:val="000000" w:themeColor="text1"/>
                <w:szCs w:val="32"/>
              </w:rPr>
            </w:pPr>
            <w:r>
              <w:rPr>
                <w:rFonts w:cs="Times New Roman"/>
                <w:color w:val="000000" w:themeColor="text1"/>
                <w:szCs w:val="32"/>
              </w:rPr>
              <w:t>建设内容：片区内规划建设1个“综合减灾示范社区”。</w:t>
            </w:r>
          </w:p>
          <w:p>
            <w:pPr>
              <w:ind w:firstLine="640"/>
              <w:rPr>
                <w:rFonts w:cs="Times New Roman"/>
                <w:color w:val="000000" w:themeColor="text1"/>
                <w:szCs w:val="32"/>
                <w:lang w:bidi="ar"/>
              </w:rPr>
            </w:pPr>
            <w:r>
              <w:rPr>
                <w:rFonts w:cs="Times New Roman"/>
                <w:color w:val="000000" w:themeColor="text1"/>
                <w:szCs w:val="32"/>
              </w:rPr>
              <w:t>建设地点：</w:t>
            </w:r>
            <w:r>
              <w:rPr>
                <w:rFonts w:cs="Times New Roman"/>
                <w:color w:val="000000" w:themeColor="text1"/>
                <w:szCs w:val="32"/>
                <w:lang w:bidi="ar"/>
              </w:rPr>
              <w:t>南薰镇</w:t>
            </w:r>
            <w:r>
              <w:rPr>
                <w:rFonts w:hint="eastAsia" w:cs="Times New Roman"/>
                <w:color w:val="000000" w:themeColor="text1"/>
                <w:szCs w:val="32"/>
                <w:lang w:bidi="ar"/>
              </w:rPr>
              <w:t>鼎丰</w:t>
            </w:r>
            <w:r>
              <w:rPr>
                <w:rFonts w:cs="Times New Roman"/>
                <w:color w:val="000000" w:themeColor="text1"/>
                <w:szCs w:val="32"/>
              </w:rPr>
              <w:t>社区</w:t>
            </w:r>
          </w:p>
          <w:p>
            <w:pPr>
              <w:ind w:firstLine="640"/>
              <w:rPr>
                <w:rFonts w:cs="Times New Roman"/>
                <w:color w:val="000000" w:themeColor="text1"/>
              </w:rPr>
            </w:pPr>
            <w:r>
              <w:rPr>
                <w:rFonts w:cs="Times New Roman"/>
                <w:color w:val="000000" w:themeColor="text1"/>
                <w:szCs w:val="32"/>
              </w:rPr>
              <w:t>责任单位：</w:t>
            </w:r>
            <w:r>
              <w:rPr>
                <w:rFonts w:cs="Times New Roman"/>
                <w:color w:val="000000" w:themeColor="text1"/>
                <w:szCs w:val="32"/>
                <w:lang w:bidi="ar"/>
              </w:rPr>
              <w:t>安岳县应急管理局</w:t>
            </w:r>
            <w:r>
              <w:rPr>
                <w:rFonts w:hint="eastAsia" w:cs="Times New Roman"/>
                <w:color w:val="000000" w:themeColor="text1"/>
                <w:szCs w:val="32"/>
                <w:lang w:eastAsia="zh-CN"/>
              </w:rPr>
              <w:t>、</w:t>
            </w:r>
            <w:r>
              <w:rPr>
                <w:rFonts w:cs="Times New Roman"/>
                <w:color w:val="000000" w:themeColor="text1"/>
                <w:szCs w:val="32"/>
                <w:lang w:bidi="ar"/>
              </w:rPr>
              <w:t>南薰镇</w:t>
            </w:r>
            <w:r>
              <w:rPr>
                <w:rFonts w:hint="eastAsia" w:cs="Times New Roman"/>
                <w:color w:val="000000" w:themeColor="text1"/>
                <w:szCs w:val="32"/>
                <w:lang w:bidi="ar"/>
              </w:rPr>
              <w:t>人民政府</w:t>
            </w:r>
            <w:r>
              <w:rPr>
                <w:rFonts w:cs="Times New Roman"/>
                <w:color w:val="000000" w:themeColor="text1"/>
                <w:szCs w:val="32"/>
              </w:rPr>
              <w:t>。资金估算30万元。完成期限：2035年。</w:t>
            </w:r>
          </w:p>
        </w:tc>
      </w:tr>
    </w:tbl>
    <w:p>
      <w:pPr>
        <w:pStyle w:val="3"/>
        <w:rPr>
          <w:rFonts w:cs="Times New Roman"/>
          <w:color w:val="000000" w:themeColor="text1"/>
        </w:rPr>
      </w:pPr>
      <w:bookmarkStart w:id="98" w:name="_Toc28122"/>
      <w:r>
        <w:rPr>
          <w:rFonts w:cs="Times New Roman"/>
          <w:color w:val="000000" w:themeColor="text1"/>
        </w:rPr>
        <w:t>第五章  保障措施</w:t>
      </w:r>
      <w:bookmarkEnd w:id="89"/>
      <w:bookmarkEnd w:id="90"/>
      <w:bookmarkEnd w:id="98"/>
      <w:bookmarkStart w:id="99" w:name="_Toc91790512"/>
      <w:bookmarkStart w:id="100" w:name="_Toc98773660"/>
    </w:p>
    <w:p>
      <w:pPr>
        <w:pStyle w:val="4"/>
        <w:rPr>
          <w:rFonts w:cs="Times New Roman"/>
          <w:bCs w:val="0"/>
          <w:color w:val="000000" w:themeColor="text1"/>
        </w:rPr>
      </w:pPr>
      <w:bookmarkStart w:id="101" w:name="_Toc29980"/>
      <w:r>
        <w:rPr>
          <w:rFonts w:cs="Times New Roman"/>
          <w:bCs w:val="0"/>
          <w:color w:val="000000" w:themeColor="text1"/>
        </w:rPr>
        <w:t>第一节  完善组织</w:t>
      </w:r>
      <w:bookmarkEnd w:id="99"/>
      <w:r>
        <w:rPr>
          <w:rFonts w:cs="Times New Roman"/>
          <w:bCs w:val="0"/>
          <w:color w:val="000000" w:themeColor="text1"/>
        </w:rPr>
        <w:t>保障</w:t>
      </w:r>
      <w:bookmarkEnd w:id="100"/>
      <w:bookmarkEnd w:id="101"/>
    </w:p>
    <w:p>
      <w:pPr>
        <w:ind w:firstLine="640"/>
        <w:rPr>
          <w:rFonts w:cs="Times New Roman"/>
          <w:color w:val="000000" w:themeColor="text1"/>
        </w:rPr>
      </w:pPr>
      <w:bookmarkStart w:id="102" w:name="_Hlk105056660"/>
      <w:bookmarkStart w:id="103" w:name="_Toc98773661"/>
      <w:bookmarkStart w:id="104" w:name="_Toc91790513"/>
      <w:r>
        <w:rPr>
          <w:rFonts w:cs="Times New Roman"/>
          <w:color w:val="000000" w:themeColor="text1"/>
        </w:rPr>
        <w:t>严格落实属地责任，将应急管理工作纳入年度工作计划和乡镇人民政府重要工作中。安岳县应急管理局加强统筹协调，加强对乡镇的管理，充分发挥议事协调作用，做好政策解读和工作部署，统筹协调辖区内各成员单位、乡镇、村（社区）委员会，明确职责分工，保证规划实施有序推进，各项任务如期完成</w:t>
      </w:r>
      <w:bookmarkEnd w:id="102"/>
      <w:r>
        <w:rPr>
          <w:rFonts w:cs="Times New Roman"/>
          <w:color w:val="000000" w:themeColor="text1"/>
        </w:rPr>
        <w:t>。</w:t>
      </w:r>
    </w:p>
    <w:p>
      <w:pPr>
        <w:pStyle w:val="4"/>
        <w:rPr>
          <w:rFonts w:cs="Times New Roman"/>
          <w:color w:val="000000" w:themeColor="text1"/>
        </w:rPr>
      </w:pPr>
      <w:bookmarkStart w:id="105" w:name="_Toc20453"/>
      <w:r>
        <w:rPr>
          <w:rFonts w:cs="Times New Roman"/>
          <w:color w:val="000000" w:themeColor="text1"/>
        </w:rPr>
        <w:t>第二节  强化资金保障</w:t>
      </w:r>
      <w:bookmarkEnd w:id="103"/>
      <w:bookmarkEnd w:id="104"/>
      <w:bookmarkEnd w:id="105"/>
    </w:p>
    <w:p>
      <w:pPr>
        <w:ind w:firstLine="640"/>
        <w:rPr>
          <w:rFonts w:cs="Times New Roman"/>
          <w:color w:val="000000" w:themeColor="text1"/>
        </w:rPr>
      </w:pPr>
      <w:r>
        <w:rPr>
          <w:rFonts w:cs="Times New Roman"/>
          <w:color w:val="000000" w:themeColor="text1"/>
        </w:rPr>
        <w:t>优化资金投入机制，积极争取上级政策和财政支持。建立健全党工委、政府、企业、社会相结合的应急管理体系投入机制，扩大应急管理专项资金规模，发挥财政资金引领带动作用，动员全社会广泛参与应急管理事业建设，保障工程项目实施落地，加强资金的使用和管理。</w:t>
      </w:r>
    </w:p>
    <w:p>
      <w:pPr>
        <w:pStyle w:val="4"/>
        <w:rPr>
          <w:rFonts w:cs="Times New Roman"/>
          <w:bCs w:val="0"/>
          <w:color w:val="000000" w:themeColor="text1"/>
        </w:rPr>
      </w:pPr>
      <w:bookmarkStart w:id="106" w:name="_Toc98773662"/>
      <w:bookmarkStart w:id="107" w:name="_Toc26444"/>
      <w:r>
        <w:rPr>
          <w:rFonts w:cs="Times New Roman"/>
          <w:bCs w:val="0"/>
          <w:color w:val="000000" w:themeColor="text1"/>
        </w:rPr>
        <w:t>第三节  落实政策保障</w:t>
      </w:r>
      <w:bookmarkEnd w:id="106"/>
      <w:bookmarkEnd w:id="107"/>
    </w:p>
    <w:p>
      <w:pPr>
        <w:ind w:firstLine="640"/>
        <w:rPr>
          <w:rFonts w:cs="Times New Roman"/>
          <w:color w:val="000000" w:themeColor="text1"/>
        </w:rPr>
      </w:pPr>
      <w:r>
        <w:rPr>
          <w:rFonts w:cs="Times New Roman"/>
          <w:color w:val="000000" w:themeColor="text1"/>
        </w:rPr>
        <w:t>严格按照两项改革“后半篇”专项工作方案及其片区国土空间规划指导执行。各乡镇人民政府要履行属地主体责任，制定辖区应急体系规划，组织实施重点项目。</w:t>
      </w:r>
    </w:p>
    <w:p>
      <w:pPr>
        <w:pStyle w:val="4"/>
        <w:rPr>
          <w:rFonts w:cs="Times New Roman"/>
          <w:bCs w:val="0"/>
          <w:color w:val="000000" w:themeColor="text1"/>
        </w:rPr>
      </w:pPr>
      <w:bookmarkStart w:id="108" w:name="_Toc32132"/>
      <w:r>
        <w:rPr>
          <w:rFonts w:cs="Times New Roman"/>
          <w:bCs w:val="0"/>
          <w:color w:val="000000" w:themeColor="text1"/>
        </w:rPr>
        <w:t>第四节  强化督查问效</w:t>
      </w:r>
      <w:bookmarkEnd w:id="108"/>
    </w:p>
    <w:p>
      <w:pPr>
        <w:ind w:firstLine="640"/>
        <w:rPr>
          <w:rFonts w:ascii="宋体" w:hAnsi="Courier New" w:eastAsia="宋体" w:cs="宋体"/>
          <w:sz w:val="21"/>
          <w:szCs w:val="21"/>
        </w:rPr>
      </w:pPr>
      <w:r>
        <w:rPr>
          <w:rFonts w:cs="Times New Roman"/>
          <w:color w:val="000000" w:themeColor="text1"/>
        </w:rPr>
        <w:t>片区各乡镇开展规划实施年度监测分析、中期评估和终期评估，</w:t>
      </w:r>
      <w:r>
        <w:rPr>
          <w:rFonts w:cs="Times New Roman"/>
          <w:color w:val="000000" w:themeColor="text1"/>
          <w:lang w:bidi="ar"/>
        </w:rPr>
        <w:t>及时公布进展情况，加强对片区规划实施情况的监督检查和考核评估，确保工作有序推进</w:t>
      </w:r>
      <w:r>
        <w:rPr>
          <w:rFonts w:cs="Times New Roman"/>
          <w:color w:val="000000" w:themeColor="text1"/>
        </w:rPr>
        <w:t>。</w:t>
      </w:r>
      <w:r>
        <w:br w:type="page"/>
      </w:r>
    </w:p>
    <w:p>
      <w:pPr>
        <w:pStyle w:val="3"/>
        <w:jc w:val="both"/>
        <w:rPr>
          <w:rFonts w:cs="Times New Roman"/>
          <w:color w:val="000000" w:themeColor="text1"/>
        </w:rPr>
      </w:pPr>
      <w:bookmarkStart w:id="109" w:name="_Toc103501628"/>
      <w:bookmarkStart w:id="110" w:name="_Toc27270"/>
      <w:r>
        <w:rPr>
          <w:rFonts w:hint="eastAsia" w:cs="Times New Roman"/>
          <w:color w:val="000000" w:themeColor="text1"/>
        </w:rPr>
        <w:t>附表</w:t>
      </w:r>
      <w:bookmarkEnd w:id="109"/>
      <w:bookmarkEnd w:id="110"/>
    </w:p>
    <w:p>
      <w:pPr>
        <w:pStyle w:val="4"/>
        <w:numPr>
          <w:ilvl w:val="0"/>
          <w:numId w:val="0"/>
        </w:numPr>
        <w:ind w:left="568" w:leftChars="0"/>
        <w:jc w:val="both"/>
        <w:rPr>
          <w:rFonts w:cs="Times New Roman"/>
          <w:bCs w:val="0"/>
          <w:color w:val="000000" w:themeColor="text1"/>
        </w:rPr>
      </w:pPr>
      <w:bookmarkStart w:id="111" w:name="_Toc1455"/>
      <w:r>
        <w:rPr>
          <w:rFonts w:hint="eastAsia" w:cs="Times New Roman"/>
          <w:bCs w:val="0"/>
          <w:color w:val="000000" w:themeColor="text1"/>
          <w:lang w:eastAsia="zh-CN"/>
        </w:rPr>
        <w:t>（</w:t>
      </w:r>
      <w:r>
        <w:rPr>
          <w:rFonts w:hint="eastAsia" w:cs="Times New Roman"/>
          <w:bCs w:val="0"/>
          <w:color w:val="000000" w:themeColor="text1"/>
          <w:lang w:val="en-US" w:eastAsia="zh-CN"/>
        </w:rPr>
        <w:t>一）</w:t>
      </w:r>
      <w:r>
        <w:rPr>
          <w:rFonts w:hint="eastAsia" w:cs="Times New Roman"/>
          <w:bCs w:val="0"/>
          <w:color w:val="000000" w:themeColor="text1"/>
        </w:rPr>
        <w:t>片区企业风险等级及分布表</w:t>
      </w:r>
      <w:bookmarkEnd w:id="111"/>
    </w:p>
    <w:tbl>
      <w:tblPr>
        <w:tblStyle w:val="20"/>
        <w:tblW w:w="9351" w:type="dxa"/>
        <w:tblInd w:w="113" w:type="dxa"/>
        <w:tblLayout w:type="autofit"/>
        <w:tblCellMar>
          <w:top w:w="0" w:type="dxa"/>
          <w:left w:w="108" w:type="dxa"/>
          <w:bottom w:w="0" w:type="dxa"/>
          <w:right w:w="108" w:type="dxa"/>
        </w:tblCellMar>
      </w:tblPr>
      <w:tblGrid>
        <w:gridCol w:w="680"/>
        <w:gridCol w:w="1016"/>
        <w:gridCol w:w="2268"/>
        <w:gridCol w:w="1460"/>
        <w:gridCol w:w="1659"/>
        <w:gridCol w:w="709"/>
        <w:gridCol w:w="850"/>
        <w:gridCol w:w="709"/>
      </w:tblGrid>
      <w:tr>
        <w:tblPrEx>
          <w:tblCellMar>
            <w:top w:w="0" w:type="dxa"/>
            <w:left w:w="108" w:type="dxa"/>
            <w:bottom w:w="0" w:type="dxa"/>
            <w:right w:w="108" w:type="dxa"/>
          </w:tblCellMar>
        </w:tblPrEx>
        <w:trPr>
          <w:trHeight w:val="500" w:hRule="atLeast"/>
        </w:trPr>
        <w:tc>
          <w:tcPr>
            <w:tcW w:w="68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01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企业名称</w:t>
            </w:r>
          </w:p>
        </w:tc>
        <w:tc>
          <w:tcPr>
            <w:tcW w:w="146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行业类型</w:t>
            </w:r>
          </w:p>
        </w:tc>
        <w:tc>
          <w:tcPr>
            <w:tcW w:w="165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地址</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风险等级</w:t>
            </w:r>
          </w:p>
        </w:tc>
        <w:tc>
          <w:tcPr>
            <w:tcW w:w="85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生产情况</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500" w:hRule="atLeast"/>
        </w:trPr>
        <w:tc>
          <w:tcPr>
            <w:tcW w:w="6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1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4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65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85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安岳县周礼宋家坝加油站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安岳县周礼镇粉城大道南段</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安岳县周礼金平加油站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安岳县周礼镇薯都社区</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安岳县盛发液化气供应有限公司周礼分公司</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安岳县周礼镇桂湖村4组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岳101-X10井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五君村2组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安岳县镇子加油站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治水村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中石油金银坡加油站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三圣村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安岳县玉清加油站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玉清社区</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岳101-X12井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建华社区6组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威东2-c1井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三圣村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岳101-11井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同福村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岳101-20井组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狮子坝</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岳101-9井组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灵胜村15组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岳101-7井组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宝庆村7组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岳101-8井组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桂园社区6组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岳101-21井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金牛村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岳101-102-H1</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集福村</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岳101-14井组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桂园社区</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岳101-16井组</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桂园社区</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安岳县南薰镇永丰村10组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蜀南气矿安岳采气探井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16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安岳县南薰镇田寨村1组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未生产</w:t>
            </w:r>
          </w:p>
        </w:tc>
      </w:tr>
    </w:tbl>
    <w:p>
      <w:pPr>
        <w:ind w:firstLine="440"/>
        <w:rPr>
          <w:rFonts w:ascii="仿宋" w:hAnsi="仿宋"/>
          <w:sz w:val="22"/>
        </w:rPr>
      </w:pPr>
    </w:p>
    <w:p>
      <w:pPr>
        <w:pStyle w:val="4"/>
        <w:numPr>
          <w:ilvl w:val="0"/>
          <w:numId w:val="0"/>
        </w:numPr>
        <w:ind w:left="54" w:leftChars="0"/>
        <w:jc w:val="both"/>
        <w:rPr>
          <w:rFonts w:cs="Times New Roman"/>
          <w:bCs w:val="0"/>
          <w:color w:val="000000" w:themeColor="text1"/>
        </w:rPr>
      </w:pPr>
      <w:bookmarkStart w:id="112" w:name="_Toc31253"/>
      <w:r>
        <w:rPr>
          <w:rFonts w:hint="eastAsia" w:cs="Times New Roman"/>
          <w:bCs w:val="0"/>
          <w:color w:val="000000" w:themeColor="text1"/>
          <w:lang w:eastAsia="zh-CN"/>
        </w:rPr>
        <w:t>（</w:t>
      </w:r>
      <w:r>
        <w:rPr>
          <w:rFonts w:hint="eastAsia" w:cs="Times New Roman"/>
          <w:bCs w:val="0"/>
          <w:color w:val="000000" w:themeColor="text1"/>
          <w:lang w:val="en-US" w:eastAsia="zh-CN"/>
        </w:rPr>
        <w:t>二）</w:t>
      </w:r>
      <w:r>
        <w:rPr>
          <w:rFonts w:hint="eastAsia" w:cs="Times New Roman"/>
          <w:bCs w:val="0"/>
          <w:color w:val="000000" w:themeColor="text1"/>
        </w:rPr>
        <w:t>片区近年来典型安全生产和自然灾害事故统计表</w:t>
      </w:r>
      <w:bookmarkEnd w:id="112"/>
    </w:p>
    <w:tbl>
      <w:tblPr>
        <w:tblStyle w:val="20"/>
        <w:tblW w:w="8548" w:type="dxa"/>
        <w:tblInd w:w="113" w:type="dxa"/>
        <w:tblLayout w:type="autofit"/>
        <w:tblCellMar>
          <w:top w:w="0" w:type="dxa"/>
          <w:left w:w="108" w:type="dxa"/>
          <w:bottom w:w="0" w:type="dxa"/>
          <w:right w:w="108" w:type="dxa"/>
        </w:tblCellMar>
      </w:tblPr>
      <w:tblGrid>
        <w:gridCol w:w="680"/>
        <w:gridCol w:w="1016"/>
        <w:gridCol w:w="1134"/>
        <w:gridCol w:w="851"/>
        <w:gridCol w:w="850"/>
        <w:gridCol w:w="1701"/>
        <w:gridCol w:w="1276"/>
        <w:gridCol w:w="1040"/>
      </w:tblGrid>
      <w:tr>
        <w:tblPrEx>
          <w:tblCellMar>
            <w:top w:w="0" w:type="dxa"/>
            <w:left w:w="108" w:type="dxa"/>
            <w:bottom w:w="0" w:type="dxa"/>
            <w:right w:w="108" w:type="dxa"/>
          </w:tblCellMar>
        </w:tblPrEx>
        <w:trPr>
          <w:trHeight w:val="500" w:hRule="atLeast"/>
        </w:trPr>
        <w:tc>
          <w:tcPr>
            <w:tcW w:w="680" w:type="dxa"/>
            <w:tcBorders>
              <w:top w:val="single" w:color="auto" w:sz="4" w:space="0"/>
              <w:left w:val="single" w:color="auto" w:sz="4" w:space="0"/>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016"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134"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类别</w:t>
            </w:r>
          </w:p>
        </w:tc>
        <w:tc>
          <w:tcPr>
            <w:tcW w:w="851"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事故起数</w:t>
            </w:r>
          </w:p>
        </w:tc>
        <w:tc>
          <w:tcPr>
            <w:tcW w:w="850"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伤亡情况</w:t>
            </w:r>
          </w:p>
        </w:tc>
        <w:tc>
          <w:tcPr>
            <w:tcW w:w="1701"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直接经济损失（万）</w:t>
            </w:r>
          </w:p>
        </w:tc>
        <w:tc>
          <w:tcPr>
            <w:tcW w:w="1276"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发生年份</w:t>
            </w:r>
          </w:p>
        </w:tc>
        <w:tc>
          <w:tcPr>
            <w:tcW w:w="104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4"/>
                <w:szCs w:val="24"/>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50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01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窒息</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2016</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高处坠落</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2017</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触电</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2018</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机械事故</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2019</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高处坠落</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2021</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干旱</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95</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2016</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105</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2017</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85</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2018</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102</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2019</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干旱</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105</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135</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2021</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6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101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2016，2018，</w:t>
            </w:r>
            <w:r>
              <w:rPr>
                <w:rFonts w:hint="eastAsia" w:ascii="仿宋" w:hAnsi="仿宋" w:cs="宋体"/>
                <w:color w:val="000000"/>
                <w:kern w:val="0"/>
                <w:sz w:val="22"/>
              </w:rPr>
              <w:br w:type="textWrapping"/>
            </w:r>
            <w:r>
              <w:rPr>
                <w:rFonts w:hint="eastAsia" w:ascii="仿宋" w:hAnsi="仿宋" w:cs="宋体"/>
                <w:color w:val="000000"/>
                <w:kern w:val="0"/>
                <w:sz w:val="22"/>
              </w:rPr>
              <w:t>2020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bl>
    <w:p>
      <w:pPr>
        <w:ind w:firstLineChars="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widowControl/>
        <w:spacing w:line="240" w:lineRule="auto"/>
        <w:ind w:firstLine="0" w:firstLineChars="0"/>
        <w:jc w:val="left"/>
        <w:rPr>
          <w:rFonts w:ascii="宋体" w:hAnsi="Courier New" w:eastAsia="宋体" w:cs="宋体"/>
          <w:sz w:val="21"/>
          <w:szCs w:val="21"/>
        </w:rPr>
      </w:pPr>
      <w:r>
        <w:br w:type="page"/>
      </w:r>
    </w:p>
    <w:p>
      <w:pPr>
        <w:pStyle w:val="4"/>
        <w:numPr>
          <w:ilvl w:val="0"/>
          <w:numId w:val="0"/>
        </w:numPr>
        <w:jc w:val="both"/>
        <w:rPr>
          <w:rFonts w:cs="Times New Roman"/>
          <w:bCs w:val="0"/>
          <w:color w:val="000000" w:themeColor="text1"/>
        </w:rPr>
      </w:pPr>
      <w:bookmarkStart w:id="113" w:name="_Toc17909"/>
      <w:r>
        <w:rPr>
          <w:rFonts w:hint="eastAsia" w:cs="Times New Roman"/>
          <w:bCs w:val="0"/>
          <w:color w:val="000000" w:themeColor="text1"/>
          <w:lang w:eastAsia="zh-CN"/>
        </w:rPr>
        <w:t>（</w:t>
      </w:r>
      <w:r>
        <w:rPr>
          <w:rFonts w:hint="eastAsia" w:cs="Times New Roman"/>
          <w:bCs w:val="0"/>
          <w:color w:val="000000" w:themeColor="text1"/>
          <w:lang w:val="en-US" w:eastAsia="zh-CN"/>
        </w:rPr>
        <w:t>三）</w:t>
      </w:r>
      <w:r>
        <w:rPr>
          <w:rFonts w:hint="eastAsia" w:cs="Times New Roman"/>
          <w:bCs w:val="0"/>
          <w:color w:val="000000" w:themeColor="text1"/>
        </w:rPr>
        <w:t>片区应急队伍统计及分布表</w:t>
      </w:r>
      <w:bookmarkEnd w:id="113"/>
    </w:p>
    <w:tbl>
      <w:tblPr>
        <w:tblStyle w:val="20"/>
        <w:tblW w:w="806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1134"/>
        <w:gridCol w:w="2268"/>
        <w:gridCol w:w="1120"/>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类型</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队伍名称</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队伍人数（人）</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救援类型</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周礼镇应急救援队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45</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建国村应急救援分队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安乐村应急救援分队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斑竹村应急救援分队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宝华社区应急小分队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高棕村应急小分队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东林村应急小分队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桂湖村应急小分队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海棠村应急小分队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金山村应急小分队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柳塘村应急小分队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龙兴村应急小分队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濛溪社区应急小分队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水月村应急小分队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五君村应急小分队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玉顶村应急小分队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玉皇村应急小分队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田坝村应急小分队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大井村应急小分队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大冲村应急小分队</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镇级应急队伍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云归社区应急队伍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桂园社区应急队伍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玉清社区应急队伍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建华社区应急队伍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治水村应急队伍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天台村应急队伍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集福村应急队伍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金牛村应急队伍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三圣村应急队伍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玉沟村应急队伍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新堰村应急队伍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狮子坝村应急队伍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同福村应急队伍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灵胜村应急队伍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宝庆村应急队伍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槐佛社区应急队伍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五台村应急队伍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高庙村应急队伍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东安村应急队伍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化龙村应急队伍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孟良村应急队伍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镇级应急队伍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灵圣社区应急队伍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九龙社区应急队伍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赵坪社区应急队伍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太平村应急队伍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太安村应急队伍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夹沙村应急队伍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极观村应急队伍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平角村应急队伍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水桥村应急队伍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玉石村应急队伍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平德村应急队伍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太华村应急队伍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小观村应急队伍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红鹤村应急队伍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龙云村应急队伍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南薰镇级应急队伍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鼎丰社区应急队伍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凤城村应急队伍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开福村应急队伍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报恩村应急队伍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染房村应急队伍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双盐村应急队伍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太益村应急队伍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田寨村应急队伍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文峰村应急队伍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永丰村应急队伍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红山村应急队伍</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千佛乡乡级应急救援队伍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千佛乡人民政府</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75</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龙铁社区应急救援队伍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龙铁社区</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76</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文章村应急救援队伍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文章村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77</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洪庙村应急救援队伍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洪庙村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78</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水果村应急救援队伍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水果村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79</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杨里村应急救援队伍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杨里村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80</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瓦屋村应急救援队伍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瓦屋村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81</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上游村应急救援队伍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上游村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82</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庙坡村应急救援队伍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庙坡村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83</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文章村应急救援队伍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文章村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84</w:t>
            </w:r>
          </w:p>
        </w:tc>
        <w:tc>
          <w:tcPr>
            <w:tcW w:w="992"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桥亭村应急救援队伍</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268"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桥亭村</w:t>
            </w:r>
          </w:p>
        </w:tc>
        <w:tc>
          <w:tcPr>
            <w:tcW w:w="112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34"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70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bl>
    <w:p>
      <w:pPr>
        <w:ind w:firstLineChars="0"/>
      </w:pPr>
    </w:p>
    <w:p>
      <w:pPr>
        <w:pStyle w:val="2"/>
        <w:ind w:firstLine="420"/>
      </w:pPr>
    </w:p>
    <w:p>
      <w:pPr>
        <w:pStyle w:val="2"/>
        <w:ind w:firstLine="420"/>
      </w:pPr>
    </w:p>
    <w:p>
      <w:pPr>
        <w:pStyle w:val="2"/>
        <w:ind w:firstLine="420"/>
      </w:pPr>
    </w:p>
    <w:p>
      <w:pPr>
        <w:pStyle w:val="2"/>
        <w:ind w:firstLine="420"/>
      </w:pPr>
    </w:p>
    <w:p>
      <w:pPr>
        <w:pStyle w:val="2"/>
        <w:ind w:firstLine="420"/>
      </w:pPr>
    </w:p>
    <w:p>
      <w:pPr>
        <w:widowControl/>
        <w:spacing w:line="240" w:lineRule="auto"/>
        <w:ind w:firstLine="0" w:firstLineChars="0"/>
        <w:jc w:val="left"/>
        <w:rPr>
          <w:rFonts w:ascii="宋体" w:hAnsi="Courier New" w:eastAsia="宋体" w:cs="宋体"/>
          <w:sz w:val="21"/>
          <w:szCs w:val="21"/>
        </w:rPr>
      </w:pPr>
      <w:r>
        <w:br w:type="page"/>
      </w:r>
    </w:p>
    <w:p>
      <w:pPr>
        <w:pStyle w:val="4"/>
        <w:numPr>
          <w:ilvl w:val="0"/>
          <w:numId w:val="0"/>
        </w:numPr>
        <w:jc w:val="both"/>
        <w:rPr>
          <w:rFonts w:cs="Times New Roman"/>
          <w:bCs w:val="0"/>
          <w:color w:val="000000" w:themeColor="text1"/>
        </w:rPr>
      </w:pPr>
      <w:bookmarkStart w:id="114" w:name="_Toc14091"/>
      <w:r>
        <w:rPr>
          <w:rFonts w:hint="eastAsia" w:cs="Times New Roman"/>
          <w:bCs w:val="0"/>
          <w:color w:val="000000" w:themeColor="text1"/>
          <w:lang w:eastAsia="zh-CN"/>
        </w:rPr>
        <w:t>（</w:t>
      </w:r>
      <w:r>
        <w:rPr>
          <w:rFonts w:hint="eastAsia" w:cs="Times New Roman"/>
          <w:bCs w:val="0"/>
          <w:color w:val="000000" w:themeColor="text1"/>
          <w:lang w:val="en-US" w:eastAsia="zh-CN"/>
        </w:rPr>
        <w:t>四）</w:t>
      </w:r>
      <w:r>
        <w:rPr>
          <w:rFonts w:hint="eastAsia" w:cs="Times New Roman"/>
          <w:bCs w:val="0"/>
          <w:color w:val="000000" w:themeColor="text1"/>
        </w:rPr>
        <w:t>片区应急救援装备、物质统计及分布表</w:t>
      </w:r>
      <w:bookmarkEnd w:id="114"/>
    </w:p>
    <w:tbl>
      <w:tblPr>
        <w:tblStyle w:val="20"/>
        <w:tblW w:w="827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79"/>
        <w:gridCol w:w="1597"/>
        <w:gridCol w:w="876"/>
        <w:gridCol w:w="739"/>
        <w:gridCol w:w="715"/>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名称</w:t>
            </w:r>
          </w:p>
        </w:tc>
        <w:tc>
          <w:tcPr>
            <w:tcW w:w="876" w:type="dxa"/>
            <w:shd w:val="clear" w:color="auto" w:fill="auto"/>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规格型号</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单位</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xml:space="preserve">数量 </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雨鞋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双</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防护手套</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双</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反光背心</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口哨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支</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救生缆索</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根</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排涝泵</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警示带</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米</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风力灭火机</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防汛沙袋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灭火扑</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十字镐</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手动灭火水枪</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砍刀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锄头</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卫星电话</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无人机</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强光手电筒</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头灯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应急工作灯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90" w:type="dxa"/>
            <w:shd w:val="clear" w:color="auto" w:fill="auto"/>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龙桥社区宋家巷10号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消防移动式照明装置</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20㎡帐篷</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顶</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折叠床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张</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48</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棉被</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床</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494</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防寒服</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床上用品（三件套）</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床</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260</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防潮垫</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数码迷彩睡袋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80</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雨鞋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双</w:t>
            </w:r>
          </w:p>
        </w:tc>
        <w:tc>
          <w:tcPr>
            <w:tcW w:w="715"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2690"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龙桥社区宋家巷20号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手锯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锄头</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反光背心</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锥形桶</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建国村办公室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4kg</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安乐村办公室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安乐村办公室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安乐村办公室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斑竹村办公室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斑竹村办公室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MFZ/</w:t>
            </w:r>
          </w:p>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ABC4</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周礼镇东林村办公室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大冲村办公室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大冲村办公室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大冲村办公室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大冲村办公室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镰刀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高棕村办公室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高棕村办公室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高棕村办公室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高棕村办公室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桂湖村应急物资储存室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桂湖村应急物资储存室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桂湖村应急物资储存室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镰刀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海棠村应急物资储存室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海棠村应急物资储存室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海棠村应急物资储存室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海棠村应急物资储存室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金山村应急物资储存室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金山村应急物资储存室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金山村应急物资储存室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柳塘村应急物资储存室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扑火耙</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柳塘村应急物资储存室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锯子</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柳塘村应急物资储存室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10KG</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柳塘村应急物资储存室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DFR</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柳塘村应急物资储存室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龙桥社区应急物资储存室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龙桥社区应急物资储存室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龙桥社区应急物资储存室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MFZ/</w:t>
            </w:r>
          </w:p>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ABC4</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龙桥社区应急物资储存室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龙兴村应急物资储存室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龙兴村应急物资储存室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龙兴村应急物资储存室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龙兴村应急物资储存室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濛溪社区应急物资储存室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濛溪社区应急物资储存室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薯都社区应急物资储存室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薯都社区应急物资储存室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薯都社区应急物资储存室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薯都社区应急物资储存室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水月村应急物资储存室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水月村应急物资储存室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水月村应急物资储存室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五君村应急物资储存室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五君村应急物资储存室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五君村应急物资储存室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玉顶村应急物资储存室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玉顶村应急物资储存室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玉顶村应急物资储存室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镰刀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玉皇村应急物资储存室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玉皇村应急物资储存室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玉皇村应急物资储存室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玉皇村应急物资储存室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镰刀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田坝村应急物资储存室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扑火扫把</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田坝村应急物资储存室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田坝村应急物资储存室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田坝村应急物资储存室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编织袋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条</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1000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消防斧</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头灯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油锯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强光电筒</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背负式电动灭火水枪</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套</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砍刀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9</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二号工具</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砍刀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警报器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手电筒</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防洪袋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130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597"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打火笤</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乡应急物资储存室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ML-681</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扑火扫帚</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90</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5公斤</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12</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铲</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25</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镐</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消防水带</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米</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100</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抽水机</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台</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油锯</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台</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水袋</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帐篷</w:t>
            </w:r>
          </w:p>
        </w:tc>
        <w:tc>
          <w:tcPr>
            <w:tcW w:w="876"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无</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顶</w:t>
            </w:r>
          </w:p>
        </w:tc>
        <w:tc>
          <w:tcPr>
            <w:tcW w:w="715"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排洪泵</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卫星电话</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部</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割灌机</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台</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救生缆索</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根</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24</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双</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安全帽</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防护手套</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双</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80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反光背心</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15</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口哨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强光手电筒</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6</w:t>
            </w:r>
          </w:p>
        </w:tc>
        <w:tc>
          <w:tcPr>
            <w:tcW w:w="2690" w:type="dxa"/>
            <w:shd w:val="clear" w:color="auto" w:fill="auto"/>
            <w:noWrap/>
            <w:vAlign w:val="center"/>
          </w:tcPr>
          <w:p>
            <w:pPr>
              <w:widowControl/>
              <w:spacing w:line="240" w:lineRule="auto"/>
              <w:ind w:firstLine="0" w:firstLineChars="0"/>
              <w:jc w:val="left"/>
              <w:rPr>
                <w:rFonts w:ascii="仿宋" w:hAnsi="仿宋" w:cs="宋体"/>
                <w:kern w:val="0"/>
                <w:sz w:val="22"/>
              </w:rPr>
            </w:pPr>
            <w:r>
              <w:rPr>
                <w:rFonts w:hint="eastAsia" w:ascii="仿宋" w:hAnsi="仿宋" w:cs="宋体"/>
                <w:kern w:val="0"/>
                <w:sz w:val="22"/>
              </w:rPr>
              <w:t>镇应急物资储存室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南薰镇凤城村物资储存室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南薰镇开福村物资储存室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南薰镇报恩村物资储存室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南薰镇染房村物资储存室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南薰镇双盐村物资储存室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南薰镇太益村物资储存室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南薰镇田寨村物资储存室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南薰镇文峰村物资储存室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南薰镇永丰村物资储存室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南薰镇红山村物资储存室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背负式电动灭火水枪</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LSSQ-D</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反光背心</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砍刀</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LSKD-2</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54</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消防锹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LSTD-2</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15</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二号工具</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LSGJ-2</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强光电筒</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LSLED-22</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8</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盾牌</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26套</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26</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4个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信号灯</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30个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口哨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10个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5个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水壶</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30个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172</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消防水袋</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100个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173</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钢钎</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2根</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174</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撬棍</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2根</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175</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汽油机防水泵</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1台</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176</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汽油机割草机</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1台</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177</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抓捕绳</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10条</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178</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救生绳索</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color w:val="000000"/>
                <w:kern w:val="0"/>
                <w:sz w:val="22"/>
              </w:rPr>
              <w:t>2套</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179</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65转50水枪接口</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180</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65水枪头</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3个</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181</w:t>
            </w:r>
          </w:p>
        </w:tc>
        <w:tc>
          <w:tcPr>
            <w:tcW w:w="97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597"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消防水管</w:t>
            </w:r>
          </w:p>
        </w:tc>
        <w:tc>
          <w:tcPr>
            <w:tcW w:w="876"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39"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10盘</w:t>
            </w:r>
          </w:p>
        </w:tc>
        <w:tc>
          <w:tcPr>
            <w:tcW w:w="715" w:type="dxa"/>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690" w:type="dxa"/>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乡战备物资储存室</w:t>
            </w:r>
          </w:p>
        </w:tc>
      </w:tr>
    </w:tbl>
    <w:p>
      <w:pPr>
        <w:ind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pPr>
    </w:p>
    <w:p>
      <w:pPr>
        <w:widowControl/>
        <w:spacing w:line="240" w:lineRule="auto"/>
        <w:ind w:firstLine="0" w:firstLineChars="0"/>
        <w:jc w:val="left"/>
      </w:pPr>
      <w:r>
        <w:br w:type="page"/>
      </w:r>
    </w:p>
    <w:p>
      <w:pPr>
        <w:pStyle w:val="4"/>
        <w:numPr>
          <w:ilvl w:val="0"/>
          <w:numId w:val="0"/>
        </w:numPr>
        <w:jc w:val="both"/>
        <w:rPr>
          <w:rFonts w:cs="Times New Roman"/>
          <w:bCs w:val="0"/>
          <w:color w:val="000000" w:themeColor="text1"/>
        </w:rPr>
      </w:pPr>
      <w:bookmarkStart w:id="115" w:name="_Toc13783"/>
      <w:r>
        <w:rPr>
          <w:rFonts w:hint="eastAsia" w:cs="Times New Roman"/>
          <w:bCs w:val="0"/>
          <w:color w:val="000000" w:themeColor="text1"/>
          <w:lang w:eastAsia="zh-CN"/>
        </w:rPr>
        <w:t>（</w:t>
      </w:r>
      <w:r>
        <w:rPr>
          <w:rFonts w:hint="eastAsia" w:cs="Times New Roman"/>
          <w:bCs w:val="0"/>
          <w:color w:val="000000" w:themeColor="text1"/>
          <w:lang w:val="en-US" w:eastAsia="zh-CN"/>
        </w:rPr>
        <w:t>五）</w:t>
      </w:r>
      <w:r>
        <w:rPr>
          <w:rFonts w:hint="eastAsia" w:cs="Times New Roman"/>
          <w:bCs w:val="0"/>
          <w:color w:val="000000" w:themeColor="text1"/>
        </w:rPr>
        <w:t>片区应急管理用地现状和规划用地指标</w:t>
      </w:r>
      <w:bookmarkEnd w:id="115"/>
    </w:p>
    <w:p>
      <w:pPr>
        <w:ind w:firstLineChars="0"/>
        <w:jc w:val="center"/>
      </w:pPr>
      <w:r>
        <w:rPr>
          <w:rFonts w:hint="eastAsia" w:cs="Times New Roman"/>
          <w:bCs/>
          <w:color w:val="000000" w:themeColor="text1"/>
        </w:rPr>
        <w:t>应急管理用地现状</w:t>
      </w:r>
    </w:p>
    <w:tbl>
      <w:tblPr>
        <w:tblStyle w:val="20"/>
        <w:tblW w:w="8590" w:type="dxa"/>
        <w:tblInd w:w="113" w:type="dxa"/>
        <w:tblLayout w:type="autofit"/>
        <w:tblCellMar>
          <w:top w:w="0" w:type="dxa"/>
          <w:left w:w="108" w:type="dxa"/>
          <w:bottom w:w="0" w:type="dxa"/>
          <w:right w:w="108" w:type="dxa"/>
        </w:tblCellMar>
      </w:tblPr>
      <w:tblGrid>
        <w:gridCol w:w="846"/>
        <w:gridCol w:w="2670"/>
        <w:gridCol w:w="2480"/>
        <w:gridCol w:w="1318"/>
        <w:gridCol w:w="1276"/>
      </w:tblGrid>
      <w:tr>
        <w:tblPrEx>
          <w:tblCellMar>
            <w:top w:w="0" w:type="dxa"/>
            <w:left w:w="108" w:type="dxa"/>
            <w:bottom w:w="0" w:type="dxa"/>
            <w:right w:w="108" w:type="dxa"/>
          </w:tblCellMar>
        </w:tblPrEx>
        <w:trPr>
          <w:trHeight w:val="368" w:hRule="atLeast"/>
          <w:tblHead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267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24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131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r>
      <w:tr>
        <w:tblPrEx>
          <w:tblCellMar>
            <w:top w:w="0" w:type="dxa"/>
            <w:left w:w="108" w:type="dxa"/>
            <w:bottom w:w="0" w:type="dxa"/>
            <w:right w:w="108" w:type="dxa"/>
          </w:tblCellMar>
        </w:tblPrEx>
        <w:trPr>
          <w:trHeight w:val="312"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4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6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周礼初级中学应急避难点</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周礼镇牌坊路185号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周礼中学应急避难场所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粉城大道西段</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周礼小学应急避难场所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濛溪路13号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龙桥九年制学校</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水月村2组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宝华九义校应急避难场所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宝华社区禹皇街西段44号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建国村应急避难场所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建国村1组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安乐村应急避难场所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安乐村6组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斑竹村应急避难场所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斑竹村9组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550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东林村应急避难场所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东林村村委会东林村小学</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大冲村应急避难场所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大冲村3组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高棕村应急避难场所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高棕村4组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桂湖村应急避难场所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桂湖村6组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海棠村应急避难场所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海棠村4组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金山村应急避难场所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金山村2组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龙桥社区</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480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龙兴村应急避难场所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龙兴村3组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薯都社区6组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五君村应急避难场所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五君村04组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326</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玉顶村应急避难场所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玉顶村8组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玉皇村应急避难场所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玉皇村3组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柳塘村应急避难场所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柳塘村5组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田坝村应急避难场所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田坝村4组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宝华社区应急避难场所</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禹皇街西段6号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26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建国村村小</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建国村2组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26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龙桥九年制学校中学部</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水月村1组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26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安乐村（原三兴村小学）</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安乐村8组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26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田坝村小学</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田坝村6组</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镇子镇政府广场</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桂圆街29号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镇子政府专职消防救援站</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北大街北段93号——101号</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消防救援</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千佛乡小学</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千佛乡小学</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安岳县拱桥小学</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四川省资阳市安岳县拱桥乡槐庵村九社</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2676.13</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大平镇九义校</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大平镇灵圣街</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大平镇九龙九义校</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大平镇九龙社区</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大平镇赵坪小学</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大平镇赵坪小学</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南薰九义校</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安岳县南薰镇鼎丰社区</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南薰镇广场</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安岳县南薰镇凤城村</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500</w:t>
            </w:r>
          </w:p>
        </w:tc>
      </w:tr>
      <w:tr>
        <w:tblPrEx>
          <w:tblCellMar>
            <w:top w:w="0" w:type="dxa"/>
            <w:left w:w="108" w:type="dxa"/>
            <w:bottom w:w="0" w:type="dxa"/>
            <w:right w:w="108" w:type="dxa"/>
          </w:tblCellMar>
        </w:tblPrEx>
        <w:trPr>
          <w:trHeight w:val="284"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37</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南薰镇永峰九义校</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安岳县南薰镇鼎丰社区永峰街道</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Times New Roman"/>
                <w:color w:val="000000"/>
                <w:kern w:val="0"/>
                <w:sz w:val="22"/>
              </w:rPr>
            </w:pPr>
            <w:r>
              <w:rPr>
                <w:rFonts w:ascii="仿宋" w:hAnsi="仿宋" w:cs="Times New Roman"/>
                <w:color w:val="000000"/>
                <w:kern w:val="0"/>
                <w:sz w:val="22"/>
              </w:rPr>
              <w:t>1000</w:t>
            </w:r>
          </w:p>
        </w:tc>
      </w:tr>
    </w:tbl>
    <w:p>
      <w:pPr>
        <w:pStyle w:val="2"/>
        <w:ind w:firstLine="420"/>
      </w:pPr>
    </w:p>
    <w:p>
      <w:pPr>
        <w:ind w:firstLineChars="0"/>
        <w:jc w:val="center"/>
      </w:pPr>
      <w:r>
        <w:rPr>
          <w:rFonts w:hint="eastAsia" w:cs="Times New Roman"/>
          <w:bCs/>
          <w:color w:val="000000" w:themeColor="text1"/>
        </w:rPr>
        <w:t>应急管理规划用地</w:t>
      </w:r>
    </w:p>
    <w:tbl>
      <w:tblPr>
        <w:tblStyle w:val="20"/>
        <w:tblW w:w="8926" w:type="dxa"/>
        <w:tblInd w:w="113" w:type="dxa"/>
        <w:tblLayout w:type="autofit"/>
        <w:tblCellMar>
          <w:top w:w="0" w:type="dxa"/>
          <w:left w:w="108" w:type="dxa"/>
          <w:bottom w:w="0" w:type="dxa"/>
          <w:right w:w="108" w:type="dxa"/>
        </w:tblCellMar>
      </w:tblPr>
      <w:tblGrid>
        <w:gridCol w:w="704"/>
        <w:gridCol w:w="1040"/>
        <w:gridCol w:w="1795"/>
        <w:gridCol w:w="1867"/>
        <w:gridCol w:w="1134"/>
        <w:gridCol w:w="1244"/>
        <w:gridCol w:w="1142"/>
      </w:tblGrid>
      <w:tr>
        <w:tblPrEx>
          <w:tblCellMar>
            <w:top w:w="0" w:type="dxa"/>
            <w:left w:w="108" w:type="dxa"/>
            <w:bottom w:w="0" w:type="dxa"/>
            <w:right w:w="108" w:type="dxa"/>
          </w:tblCellMar>
        </w:tblPrEx>
        <w:trPr>
          <w:cantSplit/>
          <w:trHeight w:val="558" w:hRule="atLeast"/>
          <w:tblHeader/>
        </w:trPr>
        <w:tc>
          <w:tcPr>
            <w:tcW w:w="70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79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18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12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用地类型（利旧/共建/新建）</w:t>
            </w:r>
          </w:p>
        </w:tc>
        <w:tc>
          <w:tcPr>
            <w:tcW w:w="114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r>
      <w:tr>
        <w:tblPrEx>
          <w:tblCellMar>
            <w:top w:w="0" w:type="dxa"/>
            <w:left w:w="108" w:type="dxa"/>
            <w:bottom w:w="0" w:type="dxa"/>
            <w:right w:w="108" w:type="dxa"/>
          </w:tblCellMar>
        </w:tblPrEx>
        <w:trPr>
          <w:trHeight w:val="34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86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2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142"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薯都社区周礼薯业产业园</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薯都社区周礼薯业产业园</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rFonts w:ascii="仿宋" w:hAnsi="仿宋" w:cs="宋体"/>
                <w:color w:val="000000"/>
                <w:kern w:val="0"/>
                <w:sz w:val="22"/>
              </w:rPr>
            </w:pPr>
            <w:r>
              <w:rPr>
                <w:rFonts w:hint="eastAsia" w:ascii="仿宋" w:hAnsi="仿宋" w:cs="宋体"/>
                <w:color w:val="000000"/>
                <w:kern w:val="0"/>
                <w:sz w:val="22"/>
              </w:rPr>
              <w:t>专职消防救援站</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周礼镇救援基地</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原周礼镇玉顶村小学</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1324.06</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周礼中学应急避难场所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粉城大道西段</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周礼小学应急避难场所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濛溪路13号</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周礼镇综合应急避难场所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薯都社区休闲广场</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周礼中心幼儿园</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薯都社区</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龙桥九年制学校</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水月村2组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宝华九义校应急避难场所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宝华社区禹皇街西段44号</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建国村应急避难场所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建国村1组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东林村应急避难场所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东林村村委会东林村小学</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志愿消防救援站</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龙佛街东段8号</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消防救援队</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千佛乡乡救援基地</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千佛乡人民政府</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r>
      <w:tr>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龙铁社区居民委员会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龙铁社区居民委员会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文章村村民委员会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文章村村民委员会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洪庙村村民委员会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洪庙村村民委员会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水果村村民委员会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水果村村民委员会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杨里村村民委员会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杨里村村民委员会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瓦屋村村民委员会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瓦屋村村民委员会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上游村村民委员会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上游村村民委员会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庙坡村村民委员会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庙坡村村民委员会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枣子村村民委员会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枣子村村民委员会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w:t>
            </w:r>
          </w:p>
        </w:tc>
        <w:tc>
          <w:tcPr>
            <w:tcW w:w="17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桥亭村村民委员会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桥亭村村民委员会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拱桥乡救援基地</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拱桥乡人民政府</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拱桥政府志愿消防救援站</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拱桥乡槐佛庵2号</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消防救援队</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大平镇救援基地</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大平镇九义校</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大平政府志愿消防队</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大平镇太平街</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消防救援队</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南薰镇生态广场</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南薰镇凤城村4组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志愿消防队</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南薰镇双盐村10组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消防救援队</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南薰镇菜市场</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安岳县南薰镇鼎丰社区</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报恩村村民委员会及报恩村学校</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报恩村3组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双盐村村民委员会及市场</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双盐村1组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太益村村民委员会</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太益村5组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田寨村村民委员会办公室外坝子</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田寨村1组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原田心村办公室及学校</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红山村2组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南薰镇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红山村村民委员会及学校</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红山村4组</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共建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1000</w:t>
            </w:r>
          </w:p>
        </w:tc>
      </w:tr>
      <w:tr>
        <w:tblPrEx>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镇子镇应急避难场所</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治水村</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4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6000</w:t>
            </w:r>
          </w:p>
        </w:tc>
      </w:tr>
    </w:tbl>
    <w:p>
      <w:pPr>
        <w:ind w:firstLineChars="0"/>
        <w:jc w:val="center"/>
        <w:rPr>
          <w:rFonts w:cs="Times New Roman"/>
          <w:bCs/>
          <w:color w:val="000000" w:themeColor="text1"/>
        </w:rPr>
      </w:pPr>
      <w:r>
        <w:rPr>
          <w:rFonts w:hint="eastAsia" w:cs="Times New Roman"/>
          <w:bCs/>
          <w:color w:val="000000" w:themeColor="text1"/>
        </w:rPr>
        <w:t>应急管理规划用地</w:t>
      </w:r>
    </w:p>
    <w:tbl>
      <w:tblPr>
        <w:tblStyle w:val="20"/>
        <w:tblW w:w="9432" w:type="dxa"/>
        <w:tblInd w:w="113" w:type="dxa"/>
        <w:tblLayout w:type="autofit"/>
        <w:tblCellMar>
          <w:top w:w="0" w:type="dxa"/>
          <w:left w:w="108" w:type="dxa"/>
          <w:bottom w:w="0" w:type="dxa"/>
          <w:right w:w="108" w:type="dxa"/>
        </w:tblCellMar>
      </w:tblPr>
      <w:tblGrid>
        <w:gridCol w:w="704"/>
        <w:gridCol w:w="1985"/>
        <w:gridCol w:w="2268"/>
        <w:gridCol w:w="1445"/>
        <w:gridCol w:w="1160"/>
        <w:gridCol w:w="1134"/>
        <w:gridCol w:w="736"/>
      </w:tblGrid>
      <w:tr>
        <w:tblPrEx>
          <w:tblCellMar>
            <w:top w:w="0" w:type="dxa"/>
            <w:left w:w="108" w:type="dxa"/>
            <w:bottom w:w="0" w:type="dxa"/>
            <w:right w:w="108" w:type="dxa"/>
          </w:tblCellMar>
        </w:tblPrEx>
        <w:trPr>
          <w:gridAfter w:val="1"/>
          <w:wAfter w:w="736" w:type="dxa"/>
          <w:trHeight w:val="368" w:hRule="atLeast"/>
        </w:trPr>
        <w:tc>
          <w:tcPr>
            <w:tcW w:w="70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98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144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11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用地类型</w:t>
            </w:r>
          </w:p>
        </w:tc>
        <w:tc>
          <w:tcPr>
            <w:tcW w:w="113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r>
      <w:tr>
        <w:tblPrEx>
          <w:tblCellMar>
            <w:top w:w="0" w:type="dxa"/>
            <w:left w:w="108" w:type="dxa"/>
            <w:bottom w:w="0" w:type="dxa"/>
            <w:right w:w="108" w:type="dxa"/>
          </w:tblCellMar>
        </w:tblPrEx>
        <w:trPr>
          <w:trHeight w:val="340" w:hRule="atLeast"/>
        </w:trPr>
        <w:tc>
          <w:tcPr>
            <w:tcW w:w="70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985"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445"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1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13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736" w:type="dxa"/>
            <w:tcBorders>
              <w:top w:val="nil"/>
              <w:left w:val="nil"/>
              <w:bottom w:val="nil"/>
              <w:right w:val="nil"/>
            </w:tcBorders>
            <w:shd w:val="clear" w:color="auto" w:fill="auto"/>
            <w:noWrap/>
            <w:vAlign w:val="bottom"/>
          </w:tcPr>
          <w:p>
            <w:pPr>
              <w:widowControl/>
              <w:spacing w:line="240" w:lineRule="auto"/>
              <w:ind w:firstLine="0" w:firstLineChars="0"/>
              <w:jc w:val="center"/>
              <w:rPr>
                <w:rFonts w:ascii="等线" w:hAnsi="等线" w:eastAsia="等线" w:cs="宋体"/>
                <w:color w:val="000000"/>
                <w:kern w:val="0"/>
                <w:sz w:val="24"/>
                <w:szCs w:val="24"/>
              </w:rPr>
            </w:pPr>
          </w:p>
        </w:tc>
      </w:tr>
      <w:tr>
        <w:tblPrEx>
          <w:tblCellMar>
            <w:top w:w="0" w:type="dxa"/>
            <w:left w:w="108" w:type="dxa"/>
            <w:bottom w:w="0" w:type="dxa"/>
            <w:right w:w="108" w:type="dxa"/>
          </w:tblCellMar>
        </w:tblPrEx>
        <w:trPr>
          <w:trHeight w:val="34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9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周礼镇救援基地</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原周礼镇玉顶村小学</w:t>
            </w:r>
          </w:p>
        </w:tc>
        <w:tc>
          <w:tcPr>
            <w:tcW w:w="14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1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1324.06</w:t>
            </w:r>
          </w:p>
        </w:tc>
        <w:tc>
          <w:tcPr>
            <w:tcW w:w="736"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34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985"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镇子镇救援基地</w:t>
            </w:r>
          </w:p>
        </w:tc>
        <w:tc>
          <w:tcPr>
            <w:tcW w:w="2268"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镇子镇政府广场</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1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现有</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2000</w:t>
            </w:r>
          </w:p>
        </w:tc>
        <w:tc>
          <w:tcPr>
            <w:tcW w:w="736"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34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千佛乡乡救援基地</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千佛乡人民政府</w:t>
            </w:r>
          </w:p>
        </w:tc>
        <w:tc>
          <w:tcPr>
            <w:tcW w:w="14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1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规划</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150</w:t>
            </w:r>
          </w:p>
        </w:tc>
        <w:tc>
          <w:tcPr>
            <w:tcW w:w="736"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34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985"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拱桥乡救援基地</w:t>
            </w:r>
          </w:p>
        </w:tc>
        <w:tc>
          <w:tcPr>
            <w:tcW w:w="2268"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拱桥乡人民政府</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160"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134" w:type="dxa"/>
            <w:tcBorders>
              <w:top w:val="nil"/>
              <w:left w:val="nil"/>
              <w:bottom w:val="nil"/>
              <w:right w:val="nil"/>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w:t>
            </w:r>
          </w:p>
        </w:tc>
        <w:tc>
          <w:tcPr>
            <w:tcW w:w="736"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34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大平镇救援基地</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大平镇九义校</w:t>
            </w:r>
          </w:p>
        </w:tc>
        <w:tc>
          <w:tcPr>
            <w:tcW w:w="14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116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共建</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4200</w:t>
            </w:r>
          </w:p>
        </w:tc>
        <w:tc>
          <w:tcPr>
            <w:tcW w:w="736" w:type="dxa"/>
            <w:vAlign w:val="center"/>
          </w:tcPr>
          <w:p>
            <w:pPr>
              <w:widowControl/>
              <w:spacing w:line="240" w:lineRule="auto"/>
              <w:ind w:firstLine="0" w:firstLineChars="0"/>
              <w:jc w:val="left"/>
              <w:rPr>
                <w:rFonts w:eastAsia="Times New Roman" w:cs="Times New Roman"/>
                <w:kern w:val="0"/>
                <w:sz w:val="20"/>
                <w:szCs w:val="20"/>
              </w:rPr>
            </w:pPr>
          </w:p>
        </w:tc>
      </w:tr>
    </w:tbl>
    <w:p>
      <w:pPr>
        <w:pStyle w:val="2"/>
        <w:ind w:firstLine="440"/>
      </w:pPr>
      <w:r>
        <w:rPr>
          <w:rFonts w:hint="eastAsia" w:ascii="仿宋" w:hAnsi="仿宋" w:eastAsia="仿宋"/>
          <w:color w:val="000000"/>
          <w:kern w:val="0"/>
          <w:sz w:val="22"/>
          <w:szCs w:val="22"/>
        </w:rPr>
        <w:t>注：用地类型：利旧/共建/新建/现有</w:t>
      </w:r>
    </w:p>
    <w:p>
      <w:pPr>
        <w:pStyle w:val="4"/>
        <w:jc w:val="both"/>
        <w:rPr>
          <w:rFonts w:cs="Times New Roman"/>
          <w:bCs w:val="0"/>
          <w:color w:val="000000" w:themeColor="text1"/>
        </w:rPr>
      </w:pPr>
      <w:bookmarkStart w:id="116" w:name="_Toc4794"/>
      <w:r>
        <w:drawing>
          <wp:anchor distT="0" distB="0" distL="114300" distR="114300" simplePos="0" relativeHeight="251659264" behindDoc="0" locked="0" layoutInCell="1" allowOverlap="1">
            <wp:simplePos x="0" y="0"/>
            <wp:positionH relativeFrom="column">
              <wp:posOffset>-46990</wp:posOffset>
            </wp:positionH>
            <wp:positionV relativeFrom="paragraph">
              <wp:posOffset>321945</wp:posOffset>
            </wp:positionV>
            <wp:extent cx="5271770" cy="8013700"/>
            <wp:effectExtent l="0" t="0" r="5080" b="6350"/>
            <wp:wrapNone/>
            <wp:docPr id="1230650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0136"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1770" cy="8013700"/>
                    </a:xfrm>
                    <a:prstGeom prst="rect">
                      <a:avLst/>
                    </a:prstGeom>
                  </pic:spPr>
                </pic:pic>
              </a:graphicData>
            </a:graphic>
          </wp:anchor>
        </w:drawing>
      </w:r>
      <w:r>
        <w:rPr>
          <w:rFonts w:hint="eastAsia" w:cs="Times New Roman"/>
          <w:bCs w:val="0"/>
          <w:color w:val="000000" w:themeColor="text1"/>
        </w:rPr>
        <w:t>（六）片区重点工程项目统计表</w:t>
      </w:r>
      <w:bookmarkEnd w:id="116"/>
    </w:p>
    <w:p>
      <w:pPr>
        <w:widowControl/>
        <w:spacing w:line="240" w:lineRule="auto"/>
        <w:ind w:firstLine="0" w:firstLineChars="0"/>
        <w:jc w:val="left"/>
        <w:sectPr>
          <w:footerReference r:id="rId11" w:type="default"/>
          <w:footerReference r:id="rId12" w:type="even"/>
          <w:pgSz w:w="11906" w:h="16838"/>
          <w:pgMar w:top="1440" w:right="1797" w:bottom="1440" w:left="1797" w:header="851" w:footer="992" w:gutter="0"/>
          <w:pgNumType w:start="1"/>
          <w:cols w:space="425" w:num="1"/>
          <w:docGrid w:type="lines" w:linePitch="435" w:charSpace="0"/>
        </w:sectPr>
      </w:pPr>
      <w:r>
        <w:br w:type="page"/>
      </w:r>
    </w:p>
    <w:p>
      <w:pPr>
        <w:pStyle w:val="3"/>
        <w:spacing w:line="240" w:lineRule="auto"/>
        <w:jc w:val="both"/>
        <w:rPr>
          <w:rFonts w:cs="Times New Roman"/>
          <w:color w:val="000000" w:themeColor="text1"/>
        </w:rPr>
      </w:pPr>
      <w:bookmarkStart w:id="117" w:name="_Toc103501629"/>
      <w:bookmarkStart w:id="118" w:name="_Toc16871"/>
      <w:r>
        <w:rPr>
          <w:rFonts w:cs="Times New Roman"/>
          <w:color w:val="000000" w:themeColor="text1"/>
        </w:rPr>
        <w:t>附图</w:t>
      </w:r>
      <w:bookmarkEnd w:id="117"/>
      <w:bookmarkEnd w:id="118"/>
    </w:p>
    <w:p>
      <w:pPr>
        <w:pStyle w:val="4"/>
        <w:numPr>
          <w:ilvl w:val="0"/>
          <w:numId w:val="0"/>
        </w:numPr>
        <w:ind w:left="568" w:leftChars="0"/>
        <w:jc w:val="both"/>
        <w:rPr>
          <w:rFonts w:hint="eastAsia" w:cs="Times New Roman"/>
          <w:bCs w:val="0"/>
          <w:color w:val="000000" w:themeColor="text1"/>
        </w:rPr>
      </w:pPr>
      <w:bookmarkStart w:id="119" w:name="_Toc11727"/>
      <w:r>
        <w:rPr>
          <w:rFonts w:hint="eastAsia" w:cs="Times New Roman"/>
          <w:bCs w:val="0"/>
          <w:color w:val="000000" w:themeColor="text1"/>
          <w:lang w:eastAsia="zh-CN"/>
        </w:rPr>
        <w:t>（</w:t>
      </w:r>
      <w:r>
        <w:rPr>
          <w:rFonts w:hint="eastAsia" w:cs="Times New Roman"/>
          <w:bCs w:val="0"/>
          <w:color w:val="000000" w:themeColor="text1"/>
          <w:lang w:val="en-US" w:eastAsia="zh-CN"/>
        </w:rPr>
        <w:t>一</w:t>
      </w:r>
      <w:r>
        <w:rPr>
          <w:rFonts w:hint="eastAsia" w:cs="Times New Roman"/>
          <w:bCs w:val="0"/>
          <w:color w:val="000000" w:themeColor="text1"/>
          <w:lang w:eastAsia="zh-CN"/>
        </w:rPr>
        <w:t>）</w:t>
      </w:r>
      <w:r>
        <w:rPr>
          <w:rFonts w:hint="eastAsia" w:cs="Times New Roman"/>
          <w:bCs w:val="0"/>
          <w:color w:val="000000" w:themeColor="text1"/>
        </w:rPr>
        <w:t>片区安全生产风险分布图</w:t>
      </w:r>
      <w:bookmarkEnd w:id="119"/>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742940" cy="4131945"/>
            <wp:effectExtent l="0" t="0" r="10160" b="1905"/>
            <wp:docPr id="2" name="图片 2" descr="1、周礼片区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周礼片区安全生产风险分布图"/>
                    <pic:cNvPicPr>
                      <a:picLocks noChangeAspect="1"/>
                    </pic:cNvPicPr>
                  </pic:nvPicPr>
                  <pic:blipFill>
                    <a:blip r:embed="rId15"/>
                    <a:stretch>
                      <a:fillRect/>
                    </a:stretch>
                  </pic:blipFill>
                  <pic:spPr>
                    <a:xfrm>
                      <a:off x="0" y="0"/>
                      <a:ext cx="5742940" cy="4131945"/>
                    </a:xfrm>
                    <a:prstGeom prst="rect">
                      <a:avLst/>
                    </a:prstGeom>
                  </pic:spPr>
                </pic:pic>
              </a:graphicData>
            </a:graphic>
          </wp:inline>
        </w:drawing>
      </w:r>
    </w:p>
    <w:p>
      <w:pPr>
        <w:pStyle w:val="4"/>
        <w:numPr>
          <w:ilvl w:val="0"/>
          <w:numId w:val="0"/>
        </w:numPr>
        <w:jc w:val="both"/>
        <w:rPr>
          <w:rFonts w:hint="eastAsia" w:cs="Times New Roman"/>
          <w:bCs w:val="0"/>
          <w:color w:val="000000" w:themeColor="text1"/>
        </w:rPr>
      </w:pPr>
      <w:bookmarkStart w:id="120" w:name="_Toc23804"/>
      <w:r>
        <w:rPr>
          <w:rFonts w:hint="eastAsia" w:cs="Times New Roman"/>
          <w:bCs w:val="0"/>
          <w:color w:val="000000" w:themeColor="text1"/>
          <w:lang w:eastAsia="zh-CN"/>
        </w:rPr>
        <w:t>（</w:t>
      </w:r>
      <w:r>
        <w:rPr>
          <w:rFonts w:hint="eastAsia" w:cs="Times New Roman"/>
          <w:bCs w:val="0"/>
          <w:color w:val="000000" w:themeColor="text1"/>
          <w:lang w:val="en-US" w:eastAsia="zh-CN"/>
        </w:rPr>
        <w:t>二</w:t>
      </w:r>
      <w:r>
        <w:rPr>
          <w:rFonts w:hint="eastAsia" w:cs="Times New Roman"/>
          <w:bCs w:val="0"/>
          <w:color w:val="000000" w:themeColor="text1"/>
          <w:lang w:eastAsia="zh-CN"/>
        </w:rPr>
        <w:t>）</w:t>
      </w:r>
      <w:r>
        <w:rPr>
          <w:rFonts w:hint="eastAsia" w:cs="Times New Roman"/>
          <w:bCs w:val="0"/>
          <w:color w:val="000000" w:themeColor="text1"/>
        </w:rPr>
        <w:t>片区自然灾害风险分布图</w:t>
      </w:r>
      <w:bookmarkEnd w:id="120"/>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6145530" cy="4702810"/>
            <wp:effectExtent l="0" t="0" r="7620" b="2540"/>
            <wp:docPr id="3" name="图片 3" descr="2、周礼片区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周礼片区自然灾害风险分布图"/>
                    <pic:cNvPicPr>
                      <a:picLocks noChangeAspect="1"/>
                    </pic:cNvPicPr>
                  </pic:nvPicPr>
                  <pic:blipFill>
                    <a:blip r:embed="rId16"/>
                    <a:stretch>
                      <a:fillRect/>
                    </a:stretch>
                  </pic:blipFill>
                  <pic:spPr>
                    <a:xfrm>
                      <a:off x="0" y="0"/>
                      <a:ext cx="6145530" cy="4702810"/>
                    </a:xfrm>
                    <a:prstGeom prst="rect">
                      <a:avLst/>
                    </a:prstGeom>
                  </pic:spPr>
                </pic:pic>
              </a:graphicData>
            </a:graphic>
          </wp:inline>
        </w:drawing>
      </w:r>
    </w:p>
    <w:p>
      <w:pPr>
        <w:pStyle w:val="4"/>
        <w:numPr>
          <w:ilvl w:val="0"/>
          <w:numId w:val="0"/>
        </w:numPr>
        <w:jc w:val="both"/>
        <w:rPr>
          <w:rFonts w:hint="eastAsia" w:cs="Times New Roman"/>
          <w:bCs w:val="0"/>
          <w:color w:val="000000" w:themeColor="text1"/>
        </w:rPr>
      </w:pPr>
      <w:bookmarkStart w:id="121" w:name="_Toc6453"/>
      <w:r>
        <w:rPr>
          <w:rFonts w:hint="eastAsia" w:cs="Times New Roman"/>
          <w:bCs w:val="0"/>
          <w:color w:val="000000" w:themeColor="text1"/>
          <w:lang w:eastAsia="zh-CN"/>
        </w:rPr>
        <w:t>（</w:t>
      </w:r>
      <w:r>
        <w:rPr>
          <w:rFonts w:hint="eastAsia" w:cs="Times New Roman"/>
          <w:bCs w:val="0"/>
          <w:color w:val="000000" w:themeColor="text1"/>
          <w:lang w:val="en-US" w:eastAsia="zh-CN"/>
        </w:rPr>
        <w:t>三</w:t>
      </w:r>
      <w:r>
        <w:rPr>
          <w:rFonts w:hint="eastAsia" w:cs="Times New Roman"/>
          <w:bCs w:val="0"/>
          <w:color w:val="000000" w:themeColor="text1"/>
          <w:lang w:eastAsia="zh-CN"/>
        </w:rPr>
        <w:t>）</w:t>
      </w:r>
      <w:r>
        <w:rPr>
          <w:rFonts w:hint="eastAsia" w:cs="Times New Roman"/>
          <w:bCs w:val="0"/>
          <w:color w:val="000000" w:themeColor="text1"/>
        </w:rPr>
        <w:t>片区主要防抗救设施现状分布图</w:t>
      </w:r>
      <w:bookmarkEnd w:id="121"/>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596890" cy="4516120"/>
            <wp:effectExtent l="0" t="0" r="3810" b="17780"/>
            <wp:docPr id="4" name="图片 4" descr="3、周礼片区防抗救灾设施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周礼片区防抗救灾设施现状分布图"/>
                    <pic:cNvPicPr>
                      <a:picLocks noChangeAspect="1"/>
                    </pic:cNvPicPr>
                  </pic:nvPicPr>
                  <pic:blipFill>
                    <a:blip r:embed="rId17"/>
                    <a:stretch>
                      <a:fillRect/>
                    </a:stretch>
                  </pic:blipFill>
                  <pic:spPr>
                    <a:xfrm>
                      <a:off x="0" y="0"/>
                      <a:ext cx="5596890" cy="4516120"/>
                    </a:xfrm>
                    <a:prstGeom prst="rect">
                      <a:avLst/>
                    </a:prstGeom>
                  </pic:spPr>
                </pic:pic>
              </a:graphicData>
            </a:graphic>
          </wp:inline>
        </w:drawing>
      </w:r>
    </w:p>
    <w:p>
      <w:pPr>
        <w:pStyle w:val="4"/>
        <w:jc w:val="both"/>
        <w:rPr>
          <w:rFonts w:hint="eastAsia" w:cs="Times New Roman"/>
          <w:bCs w:val="0"/>
          <w:color w:val="000000" w:themeColor="text1"/>
        </w:rPr>
      </w:pPr>
      <w:bookmarkStart w:id="122" w:name="_Toc24576"/>
      <w:r>
        <w:rPr>
          <w:rFonts w:hint="eastAsia" w:cs="Times New Roman"/>
          <w:bCs w:val="0"/>
          <w:color w:val="000000" w:themeColor="text1"/>
        </w:rPr>
        <w:t>（四）片区主要防抗救设施规划图</w:t>
      </w:r>
      <w:bookmarkEnd w:id="122"/>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723255" cy="4451350"/>
            <wp:effectExtent l="0" t="0" r="10795" b="6350"/>
            <wp:docPr id="5" name="图片 5" descr="4、周礼片区防抗救灾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周礼片区防抗救灾设施规划图"/>
                    <pic:cNvPicPr>
                      <a:picLocks noChangeAspect="1"/>
                    </pic:cNvPicPr>
                  </pic:nvPicPr>
                  <pic:blipFill>
                    <a:blip r:embed="rId18"/>
                    <a:stretch>
                      <a:fillRect/>
                    </a:stretch>
                  </pic:blipFill>
                  <pic:spPr>
                    <a:xfrm>
                      <a:off x="0" y="0"/>
                      <a:ext cx="5723255" cy="4451350"/>
                    </a:xfrm>
                    <a:prstGeom prst="rect">
                      <a:avLst/>
                    </a:prstGeom>
                  </pic:spPr>
                </pic:pic>
              </a:graphicData>
            </a:graphic>
          </wp:inline>
        </w:drawing>
      </w:r>
    </w:p>
    <w:p>
      <w:pPr>
        <w:pStyle w:val="4"/>
        <w:jc w:val="both"/>
        <w:rPr>
          <w:rFonts w:hint="eastAsia" w:cs="Times New Roman"/>
          <w:bCs w:val="0"/>
          <w:color w:val="000000" w:themeColor="text1"/>
        </w:rPr>
      </w:pPr>
      <w:bookmarkStart w:id="123" w:name="_Toc20272"/>
      <w:r>
        <w:rPr>
          <w:rFonts w:hint="eastAsia" w:cs="Times New Roman"/>
          <w:bCs w:val="0"/>
          <w:color w:val="000000" w:themeColor="text1"/>
        </w:rPr>
        <w:t>（五）片区防灾减灾救灾能力现状分布图</w:t>
      </w:r>
      <w:bookmarkEnd w:id="123"/>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759450" cy="4546600"/>
            <wp:effectExtent l="0" t="0" r="12700" b="6350"/>
            <wp:docPr id="6" name="图片 6" descr="5、周礼片区防灾减灾能力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周礼片区防灾减灾能力现状分布图"/>
                    <pic:cNvPicPr>
                      <a:picLocks noChangeAspect="1"/>
                    </pic:cNvPicPr>
                  </pic:nvPicPr>
                  <pic:blipFill>
                    <a:blip r:embed="rId19"/>
                    <a:stretch>
                      <a:fillRect/>
                    </a:stretch>
                  </pic:blipFill>
                  <pic:spPr>
                    <a:xfrm>
                      <a:off x="0" y="0"/>
                      <a:ext cx="5759450" cy="4546600"/>
                    </a:xfrm>
                    <a:prstGeom prst="rect">
                      <a:avLst/>
                    </a:prstGeom>
                  </pic:spPr>
                </pic:pic>
              </a:graphicData>
            </a:graphic>
          </wp:inline>
        </w:drawing>
      </w:r>
    </w:p>
    <w:p>
      <w:pPr>
        <w:pStyle w:val="4"/>
        <w:jc w:val="both"/>
        <w:rPr>
          <w:rFonts w:hint="eastAsia" w:cs="Times New Roman"/>
          <w:bCs w:val="0"/>
          <w:color w:val="000000" w:themeColor="text1"/>
        </w:rPr>
      </w:pPr>
      <w:bookmarkStart w:id="124" w:name="_Toc21786"/>
      <w:r>
        <w:rPr>
          <w:rFonts w:hint="eastAsia" w:cs="Times New Roman"/>
          <w:bCs w:val="0"/>
          <w:color w:val="000000" w:themeColor="text1"/>
        </w:rPr>
        <w:t>（六）片区防灾减灾救灾能力规划图</w:t>
      </w:r>
      <w:bookmarkEnd w:id="124"/>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772150" cy="4460240"/>
            <wp:effectExtent l="0" t="0" r="0" b="16510"/>
            <wp:docPr id="7" name="图片 7" descr="6、周礼片区防灾减灾能力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周礼片区防灾减灾能力规划图"/>
                    <pic:cNvPicPr>
                      <a:picLocks noChangeAspect="1"/>
                    </pic:cNvPicPr>
                  </pic:nvPicPr>
                  <pic:blipFill>
                    <a:blip r:embed="rId20"/>
                    <a:stretch>
                      <a:fillRect/>
                    </a:stretch>
                  </pic:blipFill>
                  <pic:spPr>
                    <a:xfrm>
                      <a:off x="0" y="0"/>
                      <a:ext cx="5772150" cy="4460240"/>
                    </a:xfrm>
                    <a:prstGeom prst="rect">
                      <a:avLst/>
                    </a:prstGeom>
                  </pic:spPr>
                </pic:pic>
              </a:graphicData>
            </a:graphic>
          </wp:inline>
        </w:drawing>
      </w:r>
    </w:p>
    <w:p>
      <w:pPr>
        <w:pStyle w:val="4"/>
        <w:jc w:val="both"/>
        <w:rPr>
          <w:rFonts w:hint="eastAsia" w:cs="Times New Roman"/>
          <w:bCs w:val="0"/>
          <w:color w:val="000000" w:themeColor="text1"/>
        </w:rPr>
      </w:pPr>
      <w:bookmarkStart w:id="125" w:name="_Toc11867"/>
      <w:r>
        <w:rPr>
          <w:rFonts w:hint="eastAsia" w:cs="Times New Roman"/>
          <w:bCs w:val="0"/>
          <w:color w:val="000000" w:themeColor="text1"/>
        </w:rPr>
        <w:t>（七）片区灾害事故防范工程规划图</w:t>
      </w:r>
      <w:bookmarkEnd w:id="125"/>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558790" cy="4481830"/>
            <wp:effectExtent l="0" t="0" r="3810" b="13970"/>
            <wp:docPr id="8" name="图片 8" descr="7、周礼片区灾害事故防范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周礼片区灾害事故防范工程规划图"/>
                    <pic:cNvPicPr>
                      <a:picLocks noChangeAspect="1"/>
                    </pic:cNvPicPr>
                  </pic:nvPicPr>
                  <pic:blipFill>
                    <a:blip r:embed="rId21"/>
                    <a:stretch>
                      <a:fillRect/>
                    </a:stretch>
                  </pic:blipFill>
                  <pic:spPr>
                    <a:xfrm>
                      <a:off x="0" y="0"/>
                      <a:ext cx="5558790" cy="4481830"/>
                    </a:xfrm>
                    <a:prstGeom prst="rect">
                      <a:avLst/>
                    </a:prstGeom>
                  </pic:spPr>
                </pic:pic>
              </a:graphicData>
            </a:graphic>
          </wp:inline>
        </w:drawing>
      </w:r>
    </w:p>
    <w:p>
      <w:pPr>
        <w:pStyle w:val="4"/>
        <w:jc w:val="both"/>
        <w:rPr>
          <w:rFonts w:cs="Times New Roman"/>
          <w:bCs w:val="0"/>
          <w:color w:val="000000" w:themeColor="text1"/>
        </w:rPr>
      </w:pPr>
      <w:bookmarkStart w:id="126" w:name="_Toc29001"/>
      <w:r>
        <w:rPr>
          <w:rFonts w:hint="eastAsia" w:cs="Times New Roman"/>
          <w:bCs w:val="0"/>
          <w:color w:val="000000" w:themeColor="text1"/>
        </w:rPr>
        <w:t>（八）片区应急管理信息工程规划图</w:t>
      </w:r>
      <w:bookmarkEnd w:id="126"/>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lang w:eastAsia="zh-CN"/>
        </w:rPr>
      </w:pPr>
      <w:r>
        <w:rPr>
          <w:rFonts w:hint="eastAsia" w:eastAsia="宋体"/>
          <w:lang w:eastAsia="zh-CN"/>
        </w:rPr>
        <w:drawing>
          <wp:inline distT="0" distB="0" distL="114300" distR="114300">
            <wp:extent cx="5922645" cy="4257675"/>
            <wp:effectExtent l="0" t="0" r="1905" b="9525"/>
            <wp:docPr id="9" name="图片 9" descr="8、周礼片区应急管理信息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周礼片区应急管理信息工程规划图"/>
                    <pic:cNvPicPr>
                      <a:picLocks noChangeAspect="1"/>
                    </pic:cNvPicPr>
                  </pic:nvPicPr>
                  <pic:blipFill>
                    <a:blip r:embed="rId22"/>
                    <a:stretch>
                      <a:fillRect/>
                    </a:stretch>
                  </pic:blipFill>
                  <pic:spPr>
                    <a:xfrm>
                      <a:off x="0" y="0"/>
                      <a:ext cx="5922645" cy="4257675"/>
                    </a:xfrm>
                    <a:prstGeom prst="rect">
                      <a:avLst/>
                    </a:prstGeom>
                  </pic:spPr>
                </pic:pic>
              </a:graphicData>
            </a:graphic>
          </wp:inline>
        </w:drawing>
      </w:r>
    </w:p>
    <w:sectPr>
      <w:pgSz w:w="11905" w:h="16838"/>
      <w:pgMar w:top="1440" w:right="1797" w:bottom="1440" w:left="1797" w:header="851" w:footer="992" w:gutter="0"/>
      <w:cols w:space="0" w:num="1"/>
      <w:rtlGutter w:val="0"/>
      <w:docGrid w:type="lines" w:linePitch="45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180" w:firstLineChars="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firstLine="0" w:firstLineChars="0"/>
      <w:jc w:val="right"/>
    </w:pPr>
    <w:r>
      <w:rPr>
        <w:rFonts w:ascii="仿宋" w:hAnsi="仿宋"/>
        <w:sz w:val="28"/>
        <w:szCs w:val="28"/>
      </w:rPr>
      <w:t xml:space="preserve">— </w:t>
    </w:r>
    <w:r>
      <w:rPr>
        <w:rFonts w:ascii="仿宋" w:hAnsi="仿宋"/>
        <w:sz w:val="28"/>
        <w:szCs w:val="28"/>
      </w:rPr>
      <w:fldChar w:fldCharType="begin"/>
    </w:r>
    <w:r>
      <w:rPr>
        <w:rFonts w:ascii="仿宋" w:hAnsi="仿宋"/>
        <w:sz w:val="28"/>
        <w:szCs w:val="28"/>
      </w:rPr>
      <w:instrText xml:space="preserve"> PAGE  \* MERGEFORMAT </w:instrText>
    </w:r>
    <w:r>
      <w:rPr>
        <w:rFonts w:ascii="仿宋" w:hAnsi="仿宋"/>
        <w:sz w:val="28"/>
        <w:szCs w:val="28"/>
      </w:rPr>
      <w:fldChar w:fldCharType="separate"/>
    </w:r>
    <w:r>
      <w:rPr>
        <w:rFonts w:ascii="仿宋" w:hAnsi="仿宋"/>
        <w:sz w:val="28"/>
        <w:szCs w:val="28"/>
      </w:rPr>
      <w:t>106</w:t>
    </w:r>
    <w:r>
      <w:rPr>
        <w:rFonts w:ascii="仿宋" w:hAnsi="仿宋"/>
        <w:sz w:val="28"/>
        <w:szCs w:val="28"/>
      </w:rPr>
      <w:fldChar w:fldCharType="end"/>
    </w:r>
    <w:r>
      <w:rPr>
        <w:rFonts w:ascii="仿宋" w:hAnsi="仿宋"/>
        <w:sz w:val="28"/>
        <w:szCs w:val="28"/>
      </w:rP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280" w:firstLineChars="100"/>
      <w:jc w:val="both"/>
    </w:pPr>
    <w:r>
      <w:rPr>
        <w:rFonts w:ascii="仿宋" w:hAnsi="仿宋"/>
        <w:sz w:val="28"/>
        <w:szCs w:val="28"/>
      </w:rPr>
      <w:t xml:space="preserve">— </w:t>
    </w:r>
    <w:r>
      <w:rPr>
        <w:rFonts w:ascii="仿宋" w:hAnsi="仿宋"/>
        <w:sz w:val="28"/>
        <w:szCs w:val="28"/>
      </w:rPr>
      <w:fldChar w:fldCharType="begin"/>
    </w:r>
    <w:r>
      <w:rPr>
        <w:rFonts w:ascii="仿宋" w:hAnsi="仿宋"/>
        <w:sz w:val="28"/>
        <w:szCs w:val="28"/>
      </w:rPr>
      <w:instrText xml:space="preserve"> PAGE  \* MERGEFORMAT </w:instrText>
    </w:r>
    <w:r>
      <w:rPr>
        <w:rFonts w:ascii="仿宋" w:hAnsi="仿宋"/>
        <w:sz w:val="28"/>
        <w:szCs w:val="28"/>
      </w:rPr>
      <w:fldChar w:fldCharType="separate"/>
    </w:r>
    <w:r>
      <w:rPr>
        <w:rFonts w:ascii="仿宋" w:hAnsi="仿宋"/>
        <w:sz w:val="28"/>
        <w:szCs w:val="28"/>
      </w:rPr>
      <w:t>104</w:t>
    </w:r>
    <w:r>
      <w:rPr>
        <w:rFonts w:ascii="仿宋" w:hAnsi="仿宋"/>
        <w:sz w:val="28"/>
        <w:szCs w:val="28"/>
      </w:rPr>
      <w:fldChar w:fldCharType="end"/>
    </w:r>
    <w:r>
      <w:rPr>
        <w:rFonts w:ascii="仿宋" w:hAnsi="仿宋"/>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evenAndOddHeaders w:val="1"/>
  <w:drawingGridHorizontalSpacing w:val="160"/>
  <w:drawingGridVerticalSpacing w:val="225"/>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ZGVhZDU2YTk5ZTY4YzBhOTMwZTlkZjA3M2RlY2U5YTUifQ=="/>
  </w:docVars>
  <w:rsids>
    <w:rsidRoot w:val="00222530"/>
    <w:rsid w:val="00001354"/>
    <w:rsid w:val="00002876"/>
    <w:rsid w:val="00003A98"/>
    <w:rsid w:val="00003A9C"/>
    <w:rsid w:val="00003D20"/>
    <w:rsid w:val="00003D4B"/>
    <w:rsid w:val="000042A1"/>
    <w:rsid w:val="00004977"/>
    <w:rsid w:val="00004D5F"/>
    <w:rsid w:val="00005EE7"/>
    <w:rsid w:val="000061E1"/>
    <w:rsid w:val="00007338"/>
    <w:rsid w:val="000075BE"/>
    <w:rsid w:val="000077ED"/>
    <w:rsid w:val="0000783E"/>
    <w:rsid w:val="00012BA0"/>
    <w:rsid w:val="00013EFF"/>
    <w:rsid w:val="00017C95"/>
    <w:rsid w:val="000202E1"/>
    <w:rsid w:val="0002095E"/>
    <w:rsid w:val="00020C22"/>
    <w:rsid w:val="000211E3"/>
    <w:rsid w:val="00021C21"/>
    <w:rsid w:val="00021E4C"/>
    <w:rsid w:val="000225F0"/>
    <w:rsid w:val="000229D0"/>
    <w:rsid w:val="0002342D"/>
    <w:rsid w:val="000236F4"/>
    <w:rsid w:val="0002485E"/>
    <w:rsid w:val="00024B99"/>
    <w:rsid w:val="00025C4E"/>
    <w:rsid w:val="00025DC2"/>
    <w:rsid w:val="00027857"/>
    <w:rsid w:val="00027B54"/>
    <w:rsid w:val="00030E20"/>
    <w:rsid w:val="000329A3"/>
    <w:rsid w:val="00032B4B"/>
    <w:rsid w:val="00032C1B"/>
    <w:rsid w:val="0003449E"/>
    <w:rsid w:val="00035D68"/>
    <w:rsid w:val="00036611"/>
    <w:rsid w:val="00037204"/>
    <w:rsid w:val="00037B8C"/>
    <w:rsid w:val="000412D6"/>
    <w:rsid w:val="000414B0"/>
    <w:rsid w:val="00041657"/>
    <w:rsid w:val="00042FCA"/>
    <w:rsid w:val="000439D4"/>
    <w:rsid w:val="00044276"/>
    <w:rsid w:val="000457C3"/>
    <w:rsid w:val="00046CA0"/>
    <w:rsid w:val="000479A4"/>
    <w:rsid w:val="00052BEC"/>
    <w:rsid w:val="00052C14"/>
    <w:rsid w:val="000532EA"/>
    <w:rsid w:val="000542E5"/>
    <w:rsid w:val="000564DB"/>
    <w:rsid w:val="0005662E"/>
    <w:rsid w:val="000566AC"/>
    <w:rsid w:val="00060482"/>
    <w:rsid w:val="00060810"/>
    <w:rsid w:val="00060F9F"/>
    <w:rsid w:val="00061FAE"/>
    <w:rsid w:val="0006201D"/>
    <w:rsid w:val="00062B5D"/>
    <w:rsid w:val="000636FF"/>
    <w:rsid w:val="00063A7F"/>
    <w:rsid w:val="00063B9A"/>
    <w:rsid w:val="0006467D"/>
    <w:rsid w:val="00064872"/>
    <w:rsid w:val="00064C45"/>
    <w:rsid w:val="00065E42"/>
    <w:rsid w:val="0006685D"/>
    <w:rsid w:val="000669C5"/>
    <w:rsid w:val="00067A6A"/>
    <w:rsid w:val="00067D84"/>
    <w:rsid w:val="00070604"/>
    <w:rsid w:val="00070B4F"/>
    <w:rsid w:val="00077546"/>
    <w:rsid w:val="000778A9"/>
    <w:rsid w:val="0008002A"/>
    <w:rsid w:val="000804BF"/>
    <w:rsid w:val="00081490"/>
    <w:rsid w:val="00082988"/>
    <w:rsid w:val="0008343E"/>
    <w:rsid w:val="00083A87"/>
    <w:rsid w:val="0008548E"/>
    <w:rsid w:val="00085C2B"/>
    <w:rsid w:val="00086ADA"/>
    <w:rsid w:val="00087691"/>
    <w:rsid w:val="00087D1D"/>
    <w:rsid w:val="000919CA"/>
    <w:rsid w:val="00091E85"/>
    <w:rsid w:val="00093A95"/>
    <w:rsid w:val="00094640"/>
    <w:rsid w:val="00094B0D"/>
    <w:rsid w:val="000953D1"/>
    <w:rsid w:val="00095F92"/>
    <w:rsid w:val="0009680C"/>
    <w:rsid w:val="000973E5"/>
    <w:rsid w:val="000975A3"/>
    <w:rsid w:val="00097A99"/>
    <w:rsid w:val="000A0D75"/>
    <w:rsid w:val="000A2064"/>
    <w:rsid w:val="000A3649"/>
    <w:rsid w:val="000A573E"/>
    <w:rsid w:val="000A5D71"/>
    <w:rsid w:val="000A6279"/>
    <w:rsid w:val="000A7010"/>
    <w:rsid w:val="000A72C5"/>
    <w:rsid w:val="000A7AE0"/>
    <w:rsid w:val="000B0D4E"/>
    <w:rsid w:val="000B1393"/>
    <w:rsid w:val="000B2BAA"/>
    <w:rsid w:val="000B3FF6"/>
    <w:rsid w:val="000B4471"/>
    <w:rsid w:val="000B47F8"/>
    <w:rsid w:val="000B4C42"/>
    <w:rsid w:val="000B5885"/>
    <w:rsid w:val="000B58EF"/>
    <w:rsid w:val="000C048C"/>
    <w:rsid w:val="000C0B93"/>
    <w:rsid w:val="000C11A4"/>
    <w:rsid w:val="000C1911"/>
    <w:rsid w:val="000C222A"/>
    <w:rsid w:val="000C2A6E"/>
    <w:rsid w:val="000C2DC8"/>
    <w:rsid w:val="000C3606"/>
    <w:rsid w:val="000C524C"/>
    <w:rsid w:val="000C52D2"/>
    <w:rsid w:val="000C62A6"/>
    <w:rsid w:val="000C6897"/>
    <w:rsid w:val="000C754A"/>
    <w:rsid w:val="000C7800"/>
    <w:rsid w:val="000C7DDF"/>
    <w:rsid w:val="000D0693"/>
    <w:rsid w:val="000D158A"/>
    <w:rsid w:val="000D167F"/>
    <w:rsid w:val="000D1FC1"/>
    <w:rsid w:val="000D2E73"/>
    <w:rsid w:val="000D303E"/>
    <w:rsid w:val="000D3043"/>
    <w:rsid w:val="000D4C55"/>
    <w:rsid w:val="000D4F7E"/>
    <w:rsid w:val="000D5716"/>
    <w:rsid w:val="000D57A5"/>
    <w:rsid w:val="000D6355"/>
    <w:rsid w:val="000D7733"/>
    <w:rsid w:val="000E0CEF"/>
    <w:rsid w:val="000E12EA"/>
    <w:rsid w:val="000E174C"/>
    <w:rsid w:val="000E1F3F"/>
    <w:rsid w:val="000E2133"/>
    <w:rsid w:val="000E3C0F"/>
    <w:rsid w:val="000E3E24"/>
    <w:rsid w:val="000E4628"/>
    <w:rsid w:val="000E480E"/>
    <w:rsid w:val="000E4CC5"/>
    <w:rsid w:val="000E4EEA"/>
    <w:rsid w:val="000E5443"/>
    <w:rsid w:val="000E5615"/>
    <w:rsid w:val="000E597B"/>
    <w:rsid w:val="000E5ACC"/>
    <w:rsid w:val="000E5FBB"/>
    <w:rsid w:val="000E6672"/>
    <w:rsid w:val="000F07A3"/>
    <w:rsid w:val="000F35B1"/>
    <w:rsid w:val="000F54DD"/>
    <w:rsid w:val="000F5B53"/>
    <w:rsid w:val="000F6527"/>
    <w:rsid w:val="000F6580"/>
    <w:rsid w:val="00100776"/>
    <w:rsid w:val="0010084A"/>
    <w:rsid w:val="00100B09"/>
    <w:rsid w:val="0010133E"/>
    <w:rsid w:val="00101F7E"/>
    <w:rsid w:val="00102B57"/>
    <w:rsid w:val="00103065"/>
    <w:rsid w:val="00103F7C"/>
    <w:rsid w:val="0010498B"/>
    <w:rsid w:val="00104F30"/>
    <w:rsid w:val="001065F2"/>
    <w:rsid w:val="001067FA"/>
    <w:rsid w:val="00106B16"/>
    <w:rsid w:val="0010735E"/>
    <w:rsid w:val="00107AAB"/>
    <w:rsid w:val="00111A3F"/>
    <w:rsid w:val="00112867"/>
    <w:rsid w:val="00112CA1"/>
    <w:rsid w:val="0011551B"/>
    <w:rsid w:val="00116F84"/>
    <w:rsid w:val="00117BEB"/>
    <w:rsid w:val="00117D84"/>
    <w:rsid w:val="00117E2F"/>
    <w:rsid w:val="00117FD8"/>
    <w:rsid w:val="001208DE"/>
    <w:rsid w:val="00120CC9"/>
    <w:rsid w:val="001214B3"/>
    <w:rsid w:val="0012288B"/>
    <w:rsid w:val="00123543"/>
    <w:rsid w:val="001236F8"/>
    <w:rsid w:val="0012441F"/>
    <w:rsid w:val="001246A3"/>
    <w:rsid w:val="00125FD4"/>
    <w:rsid w:val="0012629F"/>
    <w:rsid w:val="00126472"/>
    <w:rsid w:val="00126AC1"/>
    <w:rsid w:val="00127149"/>
    <w:rsid w:val="0013096A"/>
    <w:rsid w:val="00130FD7"/>
    <w:rsid w:val="0013129E"/>
    <w:rsid w:val="00134802"/>
    <w:rsid w:val="00135AEF"/>
    <w:rsid w:val="0013748F"/>
    <w:rsid w:val="00137EC0"/>
    <w:rsid w:val="001409DC"/>
    <w:rsid w:val="00141756"/>
    <w:rsid w:val="001418B6"/>
    <w:rsid w:val="00141DC2"/>
    <w:rsid w:val="001421D0"/>
    <w:rsid w:val="001430AC"/>
    <w:rsid w:val="0014380A"/>
    <w:rsid w:val="0014647A"/>
    <w:rsid w:val="00146C81"/>
    <w:rsid w:val="00147F7E"/>
    <w:rsid w:val="001505C4"/>
    <w:rsid w:val="001511F9"/>
    <w:rsid w:val="001521C7"/>
    <w:rsid w:val="001528F1"/>
    <w:rsid w:val="0015328C"/>
    <w:rsid w:val="0015526D"/>
    <w:rsid w:val="00155652"/>
    <w:rsid w:val="0015642A"/>
    <w:rsid w:val="001564BE"/>
    <w:rsid w:val="00156AE7"/>
    <w:rsid w:val="00156B4C"/>
    <w:rsid w:val="00156BDC"/>
    <w:rsid w:val="00156DFA"/>
    <w:rsid w:val="00157347"/>
    <w:rsid w:val="00157EEA"/>
    <w:rsid w:val="001608A9"/>
    <w:rsid w:val="0016109E"/>
    <w:rsid w:val="001611E6"/>
    <w:rsid w:val="001618A8"/>
    <w:rsid w:val="00161ED6"/>
    <w:rsid w:val="00162725"/>
    <w:rsid w:val="00162DBD"/>
    <w:rsid w:val="0016314F"/>
    <w:rsid w:val="00163227"/>
    <w:rsid w:val="001635E2"/>
    <w:rsid w:val="00164155"/>
    <w:rsid w:val="00164664"/>
    <w:rsid w:val="00164B2E"/>
    <w:rsid w:val="00165178"/>
    <w:rsid w:val="0016555D"/>
    <w:rsid w:val="00165EB2"/>
    <w:rsid w:val="00166419"/>
    <w:rsid w:val="00167351"/>
    <w:rsid w:val="00167745"/>
    <w:rsid w:val="001679DC"/>
    <w:rsid w:val="00170487"/>
    <w:rsid w:val="00170F22"/>
    <w:rsid w:val="00172400"/>
    <w:rsid w:val="00172435"/>
    <w:rsid w:val="00172CC9"/>
    <w:rsid w:val="001730E5"/>
    <w:rsid w:val="0017382A"/>
    <w:rsid w:val="00173B65"/>
    <w:rsid w:val="00174CC6"/>
    <w:rsid w:val="0017765F"/>
    <w:rsid w:val="0018341C"/>
    <w:rsid w:val="00183926"/>
    <w:rsid w:val="001852B2"/>
    <w:rsid w:val="00185A75"/>
    <w:rsid w:val="00185DED"/>
    <w:rsid w:val="0018630D"/>
    <w:rsid w:val="00187985"/>
    <w:rsid w:val="00190A32"/>
    <w:rsid w:val="00191057"/>
    <w:rsid w:val="00191E90"/>
    <w:rsid w:val="00191EDB"/>
    <w:rsid w:val="00192414"/>
    <w:rsid w:val="001927B8"/>
    <w:rsid w:val="00192B34"/>
    <w:rsid w:val="0019326B"/>
    <w:rsid w:val="00193C93"/>
    <w:rsid w:val="0019406A"/>
    <w:rsid w:val="001947ED"/>
    <w:rsid w:val="0019488E"/>
    <w:rsid w:val="001949A1"/>
    <w:rsid w:val="00194A0E"/>
    <w:rsid w:val="001950C6"/>
    <w:rsid w:val="00195470"/>
    <w:rsid w:val="0019686F"/>
    <w:rsid w:val="001A1B2E"/>
    <w:rsid w:val="001A265D"/>
    <w:rsid w:val="001A27B1"/>
    <w:rsid w:val="001A3224"/>
    <w:rsid w:val="001A5680"/>
    <w:rsid w:val="001A6665"/>
    <w:rsid w:val="001A7132"/>
    <w:rsid w:val="001A7665"/>
    <w:rsid w:val="001A7C66"/>
    <w:rsid w:val="001A7D60"/>
    <w:rsid w:val="001B01C7"/>
    <w:rsid w:val="001B02EA"/>
    <w:rsid w:val="001B279C"/>
    <w:rsid w:val="001B3821"/>
    <w:rsid w:val="001B5713"/>
    <w:rsid w:val="001B7A93"/>
    <w:rsid w:val="001C026B"/>
    <w:rsid w:val="001C05DA"/>
    <w:rsid w:val="001C1115"/>
    <w:rsid w:val="001C1AAB"/>
    <w:rsid w:val="001C30E5"/>
    <w:rsid w:val="001C3A9C"/>
    <w:rsid w:val="001C4907"/>
    <w:rsid w:val="001C6450"/>
    <w:rsid w:val="001C6F9A"/>
    <w:rsid w:val="001D0356"/>
    <w:rsid w:val="001D1508"/>
    <w:rsid w:val="001D180D"/>
    <w:rsid w:val="001D3091"/>
    <w:rsid w:val="001D3817"/>
    <w:rsid w:val="001D40CD"/>
    <w:rsid w:val="001D5F14"/>
    <w:rsid w:val="001D6DD3"/>
    <w:rsid w:val="001D7FAA"/>
    <w:rsid w:val="001E0284"/>
    <w:rsid w:val="001E1227"/>
    <w:rsid w:val="001E1572"/>
    <w:rsid w:val="001E1DA4"/>
    <w:rsid w:val="001E20B6"/>
    <w:rsid w:val="001E3A49"/>
    <w:rsid w:val="001E3B67"/>
    <w:rsid w:val="001E516A"/>
    <w:rsid w:val="001E5709"/>
    <w:rsid w:val="001E57DE"/>
    <w:rsid w:val="001E60E5"/>
    <w:rsid w:val="001E63D1"/>
    <w:rsid w:val="001E72C7"/>
    <w:rsid w:val="001E7BE8"/>
    <w:rsid w:val="001E7CA6"/>
    <w:rsid w:val="001F0BA4"/>
    <w:rsid w:val="001F2A4D"/>
    <w:rsid w:val="001F2ED8"/>
    <w:rsid w:val="001F3138"/>
    <w:rsid w:val="001F3469"/>
    <w:rsid w:val="001F4F58"/>
    <w:rsid w:val="001F7FDF"/>
    <w:rsid w:val="00200435"/>
    <w:rsid w:val="00200AAA"/>
    <w:rsid w:val="00201CDC"/>
    <w:rsid w:val="0020276F"/>
    <w:rsid w:val="0020281F"/>
    <w:rsid w:val="00202F78"/>
    <w:rsid w:val="002036AE"/>
    <w:rsid w:val="00203C27"/>
    <w:rsid w:val="00204068"/>
    <w:rsid w:val="0020529C"/>
    <w:rsid w:val="00206366"/>
    <w:rsid w:val="00206528"/>
    <w:rsid w:val="002067B7"/>
    <w:rsid w:val="00207184"/>
    <w:rsid w:val="002108BF"/>
    <w:rsid w:val="00210D26"/>
    <w:rsid w:val="0021102B"/>
    <w:rsid w:val="00211654"/>
    <w:rsid w:val="00212037"/>
    <w:rsid w:val="002135AD"/>
    <w:rsid w:val="0021377A"/>
    <w:rsid w:val="00213FE0"/>
    <w:rsid w:val="00215549"/>
    <w:rsid w:val="00215F65"/>
    <w:rsid w:val="00216CFD"/>
    <w:rsid w:val="002206DA"/>
    <w:rsid w:val="002211B2"/>
    <w:rsid w:val="00222530"/>
    <w:rsid w:val="00222BDE"/>
    <w:rsid w:val="00222F43"/>
    <w:rsid w:val="00222F93"/>
    <w:rsid w:val="002248A6"/>
    <w:rsid w:val="00225272"/>
    <w:rsid w:val="0022583E"/>
    <w:rsid w:val="002261B1"/>
    <w:rsid w:val="00226750"/>
    <w:rsid w:val="00227CBA"/>
    <w:rsid w:val="00230206"/>
    <w:rsid w:val="0023189E"/>
    <w:rsid w:val="00232D86"/>
    <w:rsid w:val="00233CF9"/>
    <w:rsid w:val="00234099"/>
    <w:rsid w:val="00234DDA"/>
    <w:rsid w:val="002356EE"/>
    <w:rsid w:val="00235DDE"/>
    <w:rsid w:val="00236422"/>
    <w:rsid w:val="002367BA"/>
    <w:rsid w:val="00236911"/>
    <w:rsid w:val="00236B85"/>
    <w:rsid w:val="00237CBE"/>
    <w:rsid w:val="00237D44"/>
    <w:rsid w:val="00240C58"/>
    <w:rsid w:val="0024222E"/>
    <w:rsid w:val="0024259B"/>
    <w:rsid w:val="00243EB1"/>
    <w:rsid w:val="002445D2"/>
    <w:rsid w:val="00244639"/>
    <w:rsid w:val="00244C58"/>
    <w:rsid w:val="00245A7B"/>
    <w:rsid w:val="00245EBC"/>
    <w:rsid w:val="00246CDD"/>
    <w:rsid w:val="00246CE7"/>
    <w:rsid w:val="00247EEF"/>
    <w:rsid w:val="00251C6C"/>
    <w:rsid w:val="002525D8"/>
    <w:rsid w:val="00252D60"/>
    <w:rsid w:val="00254052"/>
    <w:rsid w:val="002549E2"/>
    <w:rsid w:val="00255071"/>
    <w:rsid w:val="00255093"/>
    <w:rsid w:val="00255A9E"/>
    <w:rsid w:val="002565AF"/>
    <w:rsid w:val="00256839"/>
    <w:rsid w:val="00257F83"/>
    <w:rsid w:val="002601D8"/>
    <w:rsid w:val="00260366"/>
    <w:rsid w:val="00261DAF"/>
    <w:rsid w:val="00262011"/>
    <w:rsid w:val="00262056"/>
    <w:rsid w:val="0026281A"/>
    <w:rsid w:val="002650B5"/>
    <w:rsid w:val="00265ED2"/>
    <w:rsid w:val="00266452"/>
    <w:rsid w:val="00266A4E"/>
    <w:rsid w:val="00271057"/>
    <w:rsid w:val="00272167"/>
    <w:rsid w:val="002726DB"/>
    <w:rsid w:val="00272BDB"/>
    <w:rsid w:val="00272D60"/>
    <w:rsid w:val="00272D61"/>
    <w:rsid w:val="00274380"/>
    <w:rsid w:val="00274687"/>
    <w:rsid w:val="00274BF9"/>
    <w:rsid w:val="00275840"/>
    <w:rsid w:val="00275B31"/>
    <w:rsid w:val="00276A6D"/>
    <w:rsid w:val="00277829"/>
    <w:rsid w:val="00277DB8"/>
    <w:rsid w:val="002801FE"/>
    <w:rsid w:val="00280EFC"/>
    <w:rsid w:val="00281754"/>
    <w:rsid w:val="0028179E"/>
    <w:rsid w:val="00281BED"/>
    <w:rsid w:val="00281FFD"/>
    <w:rsid w:val="00282E7D"/>
    <w:rsid w:val="0028319D"/>
    <w:rsid w:val="002838FD"/>
    <w:rsid w:val="002840A1"/>
    <w:rsid w:val="002849C9"/>
    <w:rsid w:val="00285464"/>
    <w:rsid w:val="002858CD"/>
    <w:rsid w:val="002868DE"/>
    <w:rsid w:val="00286C8C"/>
    <w:rsid w:val="00287DBC"/>
    <w:rsid w:val="00290655"/>
    <w:rsid w:val="002911CC"/>
    <w:rsid w:val="0029238C"/>
    <w:rsid w:val="00293338"/>
    <w:rsid w:val="0029385D"/>
    <w:rsid w:val="00297AE8"/>
    <w:rsid w:val="00297F4F"/>
    <w:rsid w:val="002A086F"/>
    <w:rsid w:val="002A1721"/>
    <w:rsid w:val="002A2540"/>
    <w:rsid w:val="002A4782"/>
    <w:rsid w:val="002A5751"/>
    <w:rsid w:val="002A6145"/>
    <w:rsid w:val="002A760E"/>
    <w:rsid w:val="002B099C"/>
    <w:rsid w:val="002B0F5C"/>
    <w:rsid w:val="002B196B"/>
    <w:rsid w:val="002B1D7C"/>
    <w:rsid w:val="002B2323"/>
    <w:rsid w:val="002B37F1"/>
    <w:rsid w:val="002B49D4"/>
    <w:rsid w:val="002B5CAC"/>
    <w:rsid w:val="002B67D7"/>
    <w:rsid w:val="002C0728"/>
    <w:rsid w:val="002C099C"/>
    <w:rsid w:val="002C0E06"/>
    <w:rsid w:val="002C1066"/>
    <w:rsid w:val="002C2770"/>
    <w:rsid w:val="002C28E7"/>
    <w:rsid w:val="002C2D0A"/>
    <w:rsid w:val="002C2DCA"/>
    <w:rsid w:val="002C2E28"/>
    <w:rsid w:val="002C329F"/>
    <w:rsid w:val="002C399D"/>
    <w:rsid w:val="002C3C29"/>
    <w:rsid w:val="002C51CD"/>
    <w:rsid w:val="002C588E"/>
    <w:rsid w:val="002C5BBD"/>
    <w:rsid w:val="002C5ED9"/>
    <w:rsid w:val="002C79E9"/>
    <w:rsid w:val="002C7CB0"/>
    <w:rsid w:val="002D1E61"/>
    <w:rsid w:val="002D43D0"/>
    <w:rsid w:val="002D4F1D"/>
    <w:rsid w:val="002D4F4D"/>
    <w:rsid w:val="002D5358"/>
    <w:rsid w:val="002D5BE3"/>
    <w:rsid w:val="002D5E5A"/>
    <w:rsid w:val="002D76E6"/>
    <w:rsid w:val="002D7D91"/>
    <w:rsid w:val="002E0763"/>
    <w:rsid w:val="002E0FC9"/>
    <w:rsid w:val="002E13F5"/>
    <w:rsid w:val="002E17A8"/>
    <w:rsid w:val="002E256E"/>
    <w:rsid w:val="002E269D"/>
    <w:rsid w:val="002E3936"/>
    <w:rsid w:val="002E4F9D"/>
    <w:rsid w:val="002E56A8"/>
    <w:rsid w:val="002E60EC"/>
    <w:rsid w:val="002F042F"/>
    <w:rsid w:val="002F05DD"/>
    <w:rsid w:val="002F0B0F"/>
    <w:rsid w:val="002F496A"/>
    <w:rsid w:val="002F7783"/>
    <w:rsid w:val="002F7F81"/>
    <w:rsid w:val="00300209"/>
    <w:rsid w:val="0030195D"/>
    <w:rsid w:val="00303834"/>
    <w:rsid w:val="003039B1"/>
    <w:rsid w:val="00304327"/>
    <w:rsid w:val="00304501"/>
    <w:rsid w:val="00304EE9"/>
    <w:rsid w:val="003050DE"/>
    <w:rsid w:val="0030530E"/>
    <w:rsid w:val="003053B5"/>
    <w:rsid w:val="00305BDB"/>
    <w:rsid w:val="00305C93"/>
    <w:rsid w:val="00306078"/>
    <w:rsid w:val="003062C3"/>
    <w:rsid w:val="0030641B"/>
    <w:rsid w:val="003070A6"/>
    <w:rsid w:val="00307BE7"/>
    <w:rsid w:val="00310801"/>
    <w:rsid w:val="003109D1"/>
    <w:rsid w:val="003115A8"/>
    <w:rsid w:val="00311E0C"/>
    <w:rsid w:val="003124E8"/>
    <w:rsid w:val="00312F5A"/>
    <w:rsid w:val="0031404F"/>
    <w:rsid w:val="0031444C"/>
    <w:rsid w:val="00314A98"/>
    <w:rsid w:val="00315F50"/>
    <w:rsid w:val="00316B30"/>
    <w:rsid w:val="003173B4"/>
    <w:rsid w:val="00320CB1"/>
    <w:rsid w:val="00321F45"/>
    <w:rsid w:val="003251F6"/>
    <w:rsid w:val="00327208"/>
    <w:rsid w:val="00327914"/>
    <w:rsid w:val="0033048D"/>
    <w:rsid w:val="00330519"/>
    <w:rsid w:val="00330696"/>
    <w:rsid w:val="00331A04"/>
    <w:rsid w:val="00331E48"/>
    <w:rsid w:val="00332A6F"/>
    <w:rsid w:val="00333B35"/>
    <w:rsid w:val="0033427F"/>
    <w:rsid w:val="0033484D"/>
    <w:rsid w:val="003353AB"/>
    <w:rsid w:val="0033644C"/>
    <w:rsid w:val="00336B25"/>
    <w:rsid w:val="003370B2"/>
    <w:rsid w:val="00337DBB"/>
    <w:rsid w:val="00340131"/>
    <w:rsid w:val="00340E01"/>
    <w:rsid w:val="00341616"/>
    <w:rsid w:val="0034308E"/>
    <w:rsid w:val="003442F4"/>
    <w:rsid w:val="003445E0"/>
    <w:rsid w:val="003462AD"/>
    <w:rsid w:val="00347661"/>
    <w:rsid w:val="00350047"/>
    <w:rsid w:val="0035094A"/>
    <w:rsid w:val="00350C9F"/>
    <w:rsid w:val="00354089"/>
    <w:rsid w:val="00354CE7"/>
    <w:rsid w:val="00354D95"/>
    <w:rsid w:val="00356B4C"/>
    <w:rsid w:val="00357A29"/>
    <w:rsid w:val="003602F1"/>
    <w:rsid w:val="003604E7"/>
    <w:rsid w:val="003608F2"/>
    <w:rsid w:val="0036259E"/>
    <w:rsid w:val="00362E4D"/>
    <w:rsid w:val="00362F78"/>
    <w:rsid w:val="00365015"/>
    <w:rsid w:val="00365306"/>
    <w:rsid w:val="0036572E"/>
    <w:rsid w:val="00365FEE"/>
    <w:rsid w:val="003660F0"/>
    <w:rsid w:val="003661CD"/>
    <w:rsid w:val="00367E24"/>
    <w:rsid w:val="00370201"/>
    <w:rsid w:val="0037074D"/>
    <w:rsid w:val="003713F8"/>
    <w:rsid w:val="00371A30"/>
    <w:rsid w:val="003726F4"/>
    <w:rsid w:val="00372ADE"/>
    <w:rsid w:val="00372D83"/>
    <w:rsid w:val="00373F06"/>
    <w:rsid w:val="00375038"/>
    <w:rsid w:val="003751C5"/>
    <w:rsid w:val="0037566A"/>
    <w:rsid w:val="00376739"/>
    <w:rsid w:val="00376F32"/>
    <w:rsid w:val="003776C0"/>
    <w:rsid w:val="003778D2"/>
    <w:rsid w:val="00381602"/>
    <w:rsid w:val="003821BD"/>
    <w:rsid w:val="00382674"/>
    <w:rsid w:val="0038426F"/>
    <w:rsid w:val="00384446"/>
    <w:rsid w:val="00385158"/>
    <w:rsid w:val="003852B8"/>
    <w:rsid w:val="00385569"/>
    <w:rsid w:val="003870E0"/>
    <w:rsid w:val="003872B0"/>
    <w:rsid w:val="003901B5"/>
    <w:rsid w:val="00390559"/>
    <w:rsid w:val="00390A45"/>
    <w:rsid w:val="00392583"/>
    <w:rsid w:val="003929B1"/>
    <w:rsid w:val="00392D8D"/>
    <w:rsid w:val="00393172"/>
    <w:rsid w:val="00393246"/>
    <w:rsid w:val="00393876"/>
    <w:rsid w:val="00393CC6"/>
    <w:rsid w:val="00393FAE"/>
    <w:rsid w:val="0039567A"/>
    <w:rsid w:val="0039695C"/>
    <w:rsid w:val="00397999"/>
    <w:rsid w:val="00397A61"/>
    <w:rsid w:val="003A01BF"/>
    <w:rsid w:val="003A19DF"/>
    <w:rsid w:val="003A220F"/>
    <w:rsid w:val="003A3BD0"/>
    <w:rsid w:val="003A3DE2"/>
    <w:rsid w:val="003A4174"/>
    <w:rsid w:val="003A4E29"/>
    <w:rsid w:val="003A61C8"/>
    <w:rsid w:val="003A7155"/>
    <w:rsid w:val="003A7CC8"/>
    <w:rsid w:val="003B1A28"/>
    <w:rsid w:val="003B23C2"/>
    <w:rsid w:val="003B35FC"/>
    <w:rsid w:val="003B36CC"/>
    <w:rsid w:val="003B4783"/>
    <w:rsid w:val="003B4A22"/>
    <w:rsid w:val="003B4CC3"/>
    <w:rsid w:val="003B4F16"/>
    <w:rsid w:val="003B5749"/>
    <w:rsid w:val="003B6393"/>
    <w:rsid w:val="003B6904"/>
    <w:rsid w:val="003B6E01"/>
    <w:rsid w:val="003C11F9"/>
    <w:rsid w:val="003C30AC"/>
    <w:rsid w:val="003C346E"/>
    <w:rsid w:val="003C5867"/>
    <w:rsid w:val="003C5CA3"/>
    <w:rsid w:val="003C5D1D"/>
    <w:rsid w:val="003C6CB2"/>
    <w:rsid w:val="003C6D9C"/>
    <w:rsid w:val="003C6DC8"/>
    <w:rsid w:val="003C77CA"/>
    <w:rsid w:val="003C7E0E"/>
    <w:rsid w:val="003D009D"/>
    <w:rsid w:val="003D23E2"/>
    <w:rsid w:val="003D4A8B"/>
    <w:rsid w:val="003D50C7"/>
    <w:rsid w:val="003D59B5"/>
    <w:rsid w:val="003D5A35"/>
    <w:rsid w:val="003D5E64"/>
    <w:rsid w:val="003D5EC3"/>
    <w:rsid w:val="003D6F12"/>
    <w:rsid w:val="003E00A7"/>
    <w:rsid w:val="003E086F"/>
    <w:rsid w:val="003E0A78"/>
    <w:rsid w:val="003E4A7D"/>
    <w:rsid w:val="003E510A"/>
    <w:rsid w:val="003E5D6F"/>
    <w:rsid w:val="003E603C"/>
    <w:rsid w:val="003E7598"/>
    <w:rsid w:val="003E7A6B"/>
    <w:rsid w:val="003F06C1"/>
    <w:rsid w:val="003F087F"/>
    <w:rsid w:val="003F1AC7"/>
    <w:rsid w:val="003F225B"/>
    <w:rsid w:val="003F53EA"/>
    <w:rsid w:val="003F5962"/>
    <w:rsid w:val="003F6547"/>
    <w:rsid w:val="00400836"/>
    <w:rsid w:val="00400988"/>
    <w:rsid w:val="004011EE"/>
    <w:rsid w:val="00402DA7"/>
    <w:rsid w:val="00402EF7"/>
    <w:rsid w:val="004038A4"/>
    <w:rsid w:val="00403C9E"/>
    <w:rsid w:val="00403F9E"/>
    <w:rsid w:val="004045E7"/>
    <w:rsid w:val="00406368"/>
    <w:rsid w:val="004064AB"/>
    <w:rsid w:val="0040681B"/>
    <w:rsid w:val="00407A01"/>
    <w:rsid w:val="00412CBE"/>
    <w:rsid w:val="0041386F"/>
    <w:rsid w:val="00413A4D"/>
    <w:rsid w:val="004146C2"/>
    <w:rsid w:val="004150DA"/>
    <w:rsid w:val="004151D0"/>
    <w:rsid w:val="004178B4"/>
    <w:rsid w:val="00417C31"/>
    <w:rsid w:val="00420C26"/>
    <w:rsid w:val="004216F2"/>
    <w:rsid w:val="00423170"/>
    <w:rsid w:val="00423ED3"/>
    <w:rsid w:val="004242D9"/>
    <w:rsid w:val="00425B37"/>
    <w:rsid w:val="00426825"/>
    <w:rsid w:val="00426F65"/>
    <w:rsid w:val="00427996"/>
    <w:rsid w:val="00427A7F"/>
    <w:rsid w:val="004309D2"/>
    <w:rsid w:val="004311E2"/>
    <w:rsid w:val="00435968"/>
    <w:rsid w:val="00437AAC"/>
    <w:rsid w:val="00437CF4"/>
    <w:rsid w:val="00437DD9"/>
    <w:rsid w:val="00437EA1"/>
    <w:rsid w:val="00440021"/>
    <w:rsid w:val="00444D8A"/>
    <w:rsid w:val="00444DEE"/>
    <w:rsid w:val="004458F8"/>
    <w:rsid w:val="00447074"/>
    <w:rsid w:val="004472F0"/>
    <w:rsid w:val="00447CCE"/>
    <w:rsid w:val="004510C0"/>
    <w:rsid w:val="00451992"/>
    <w:rsid w:val="00451998"/>
    <w:rsid w:val="00454285"/>
    <w:rsid w:val="00454307"/>
    <w:rsid w:val="00454544"/>
    <w:rsid w:val="0045530D"/>
    <w:rsid w:val="00455532"/>
    <w:rsid w:val="004556D1"/>
    <w:rsid w:val="00456468"/>
    <w:rsid w:val="004570A0"/>
    <w:rsid w:val="00460736"/>
    <w:rsid w:val="00460769"/>
    <w:rsid w:val="004611DE"/>
    <w:rsid w:val="00461855"/>
    <w:rsid w:val="004622DB"/>
    <w:rsid w:val="00464275"/>
    <w:rsid w:val="00466537"/>
    <w:rsid w:val="00466621"/>
    <w:rsid w:val="00467291"/>
    <w:rsid w:val="004702F8"/>
    <w:rsid w:val="00471A63"/>
    <w:rsid w:val="00471D78"/>
    <w:rsid w:val="00474CC2"/>
    <w:rsid w:val="00475338"/>
    <w:rsid w:val="00477B6C"/>
    <w:rsid w:val="0048007A"/>
    <w:rsid w:val="0048170C"/>
    <w:rsid w:val="00481A49"/>
    <w:rsid w:val="00481CEA"/>
    <w:rsid w:val="00481F88"/>
    <w:rsid w:val="0048289E"/>
    <w:rsid w:val="00483239"/>
    <w:rsid w:val="004846FC"/>
    <w:rsid w:val="0048477D"/>
    <w:rsid w:val="004848DB"/>
    <w:rsid w:val="00485B07"/>
    <w:rsid w:val="00486455"/>
    <w:rsid w:val="00487CEB"/>
    <w:rsid w:val="00490ED6"/>
    <w:rsid w:val="004928BE"/>
    <w:rsid w:val="004932C0"/>
    <w:rsid w:val="004943DF"/>
    <w:rsid w:val="00495063"/>
    <w:rsid w:val="00495084"/>
    <w:rsid w:val="00495B71"/>
    <w:rsid w:val="00496389"/>
    <w:rsid w:val="00496636"/>
    <w:rsid w:val="004973D7"/>
    <w:rsid w:val="004A0B74"/>
    <w:rsid w:val="004A0CEC"/>
    <w:rsid w:val="004A0F13"/>
    <w:rsid w:val="004A1719"/>
    <w:rsid w:val="004A17B7"/>
    <w:rsid w:val="004A1D0F"/>
    <w:rsid w:val="004A1E6F"/>
    <w:rsid w:val="004A2182"/>
    <w:rsid w:val="004A232D"/>
    <w:rsid w:val="004A25E4"/>
    <w:rsid w:val="004A3B80"/>
    <w:rsid w:val="004A5250"/>
    <w:rsid w:val="004A5507"/>
    <w:rsid w:val="004A59FC"/>
    <w:rsid w:val="004A62AE"/>
    <w:rsid w:val="004A6694"/>
    <w:rsid w:val="004A6B95"/>
    <w:rsid w:val="004A7DFF"/>
    <w:rsid w:val="004B00D0"/>
    <w:rsid w:val="004B2371"/>
    <w:rsid w:val="004B3772"/>
    <w:rsid w:val="004B5815"/>
    <w:rsid w:val="004B5B47"/>
    <w:rsid w:val="004B6F6E"/>
    <w:rsid w:val="004C1C63"/>
    <w:rsid w:val="004C1D23"/>
    <w:rsid w:val="004C2489"/>
    <w:rsid w:val="004C2B3D"/>
    <w:rsid w:val="004C2B6B"/>
    <w:rsid w:val="004C2CEA"/>
    <w:rsid w:val="004C36A7"/>
    <w:rsid w:val="004C3F6E"/>
    <w:rsid w:val="004C5DDB"/>
    <w:rsid w:val="004C7075"/>
    <w:rsid w:val="004C74FC"/>
    <w:rsid w:val="004C79FA"/>
    <w:rsid w:val="004D0603"/>
    <w:rsid w:val="004D108D"/>
    <w:rsid w:val="004D157A"/>
    <w:rsid w:val="004D1E4A"/>
    <w:rsid w:val="004D33DE"/>
    <w:rsid w:val="004D3EA2"/>
    <w:rsid w:val="004D5183"/>
    <w:rsid w:val="004D65F4"/>
    <w:rsid w:val="004D6DC6"/>
    <w:rsid w:val="004D6E75"/>
    <w:rsid w:val="004D794D"/>
    <w:rsid w:val="004D7EA4"/>
    <w:rsid w:val="004D7F09"/>
    <w:rsid w:val="004E03AB"/>
    <w:rsid w:val="004E190A"/>
    <w:rsid w:val="004E3804"/>
    <w:rsid w:val="004E3C32"/>
    <w:rsid w:val="004E43D2"/>
    <w:rsid w:val="004E4434"/>
    <w:rsid w:val="004E44BC"/>
    <w:rsid w:val="004E4AC3"/>
    <w:rsid w:val="004E4F95"/>
    <w:rsid w:val="004F0158"/>
    <w:rsid w:val="004F1E50"/>
    <w:rsid w:val="004F22FC"/>
    <w:rsid w:val="004F26A8"/>
    <w:rsid w:val="004F4666"/>
    <w:rsid w:val="004F46E1"/>
    <w:rsid w:val="004F5A77"/>
    <w:rsid w:val="004F60DB"/>
    <w:rsid w:val="004F78BF"/>
    <w:rsid w:val="004F7F9B"/>
    <w:rsid w:val="005003C4"/>
    <w:rsid w:val="0050129C"/>
    <w:rsid w:val="005016B0"/>
    <w:rsid w:val="00503D1B"/>
    <w:rsid w:val="00503DE6"/>
    <w:rsid w:val="00503EC3"/>
    <w:rsid w:val="00504827"/>
    <w:rsid w:val="0050641A"/>
    <w:rsid w:val="005068CB"/>
    <w:rsid w:val="00506A8F"/>
    <w:rsid w:val="00506ED6"/>
    <w:rsid w:val="00507D93"/>
    <w:rsid w:val="0051197A"/>
    <w:rsid w:val="00511C14"/>
    <w:rsid w:val="00511ED8"/>
    <w:rsid w:val="005125C9"/>
    <w:rsid w:val="00512CEE"/>
    <w:rsid w:val="005130B2"/>
    <w:rsid w:val="0051494C"/>
    <w:rsid w:val="00515AF7"/>
    <w:rsid w:val="005170F7"/>
    <w:rsid w:val="005172A4"/>
    <w:rsid w:val="005176C1"/>
    <w:rsid w:val="0051795A"/>
    <w:rsid w:val="005203EC"/>
    <w:rsid w:val="005204DD"/>
    <w:rsid w:val="00520E26"/>
    <w:rsid w:val="00520F7B"/>
    <w:rsid w:val="00521432"/>
    <w:rsid w:val="005223CA"/>
    <w:rsid w:val="0052265D"/>
    <w:rsid w:val="005230B2"/>
    <w:rsid w:val="00523281"/>
    <w:rsid w:val="00523525"/>
    <w:rsid w:val="005239A1"/>
    <w:rsid w:val="00523E57"/>
    <w:rsid w:val="00524FFC"/>
    <w:rsid w:val="005253D1"/>
    <w:rsid w:val="00525665"/>
    <w:rsid w:val="00525F70"/>
    <w:rsid w:val="00526D72"/>
    <w:rsid w:val="00526E43"/>
    <w:rsid w:val="005303FF"/>
    <w:rsid w:val="00530D8B"/>
    <w:rsid w:val="00530E35"/>
    <w:rsid w:val="00531BA8"/>
    <w:rsid w:val="00532333"/>
    <w:rsid w:val="005344F6"/>
    <w:rsid w:val="00536084"/>
    <w:rsid w:val="00536381"/>
    <w:rsid w:val="00536F34"/>
    <w:rsid w:val="00537E95"/>
    <w:rsid w:val="00537F04"/>
    <w:rsid w:val="00540507"/>
    <w:rsid w:val="0054050C"/>
    <w:rsid w:val="00541A3C"/>
    <w:rsid w:val="00542128"/>
    <w:rsid w:val="00542E80"/>
    <w:rsid w:val="00543B25"/>
    <w:rsid w:val="00543E10"/>
    <w:rsid w:val="00543E4A"/>
    <w:rsid w:val="00544130"/>
    <w:rsid w:val="0054426A"/>
    <w:rsid w:val="0054515B"/>
    <w:rsid w:val="00546080"/>
    <w:rsid w:val="00546198"/>
    <w:rsid w:val="005517DC"/>
    <w:rsid w:val="00552F5E"/>
    <w:rsid w:val="005534F2"/>
    <w:rsid w:val="00553ECE"/>
    <w:rsid w:val="00561230"/>
    <w:rsid w:val="00563683"/>
    <w:rsid w:val="00564444"/>
    <w:rsid w:val="00565E1C"/>
    <w:rsid w:val="00566539"/>
    <w:rsid w:val="00567002"/>
    <w:rsid w:val="005672DF"/>
    <w:rsid w:val="005676F3"/>
    <w:rsid w:val="0057015C"/>
    <w:rsid w:val="00570169"/>
    <w:rsid w:val="00570E5A"/>
    <w:rsid w:val="00572422"/>
    <w:rsid w:val="00573C88"/>
    <w:rsid w:val="00574D99"/>
    <w:rsid w:val="005752E4"/>
    <w:rsid w:val="00575C5D"/>
    <w:rsid w:val="005770F4"/>
    <w:rsid w:val="00577419"/>
    <w:rsid w:val="005813CC"/>
    <w:rsid w:val="00581507"/>
    <w:rsid w:val="00581681"/>
    <w:rsid w:val="00582024"/>
    <w:rsid w:val="005826A1"/>
    <w:rsid w:val="005828B8"/>
    <w:rsid w:val="00582CBF"/>
    <w:rsid w:val="005830D0"/>
    <w:rsid w:val="005840E8"/>
    <w:rsid w:val="00586F52"/>
    <w:rsid w:val="00590572"/>
    <w:rsid w:val="00590943"/>
    <w:rsid w:val="00590BDE"/>
    <w:rsid w:val="00593B1F"/>
    <w:rsid w:val="00595986"/>
    <w:rsid w:val="00595B6B"/>
    <w:rsid w:val="00596DE8"/>
    <w:rsid w:val="00596E7A"/>
    <w:rsid w:val="005976F4"/>
    <w:rsid w:val="005A1190"/>
    <w:rsid w:val="005A1528"/>
    <w:rsid w:val="005A2463"/>
    <w:rsid w:val="005A2F7B"/>
    <w:rsid w:val="005A2F8B"/>
    <w:rsid w:val="005A4FA4"/>
    <w:rsid w:val="005A5D50"/>
    <w:rsid w:val="005A78C3"/>
    <w:rsid w:val="005B0968"/>
    <w:rsid w:val="005B1274"/>
    <w:rsid w:val="005B1AC5"/>
    <w:rsid w:val="005B3A7B"/>
    <w:rsid w:val="005B537B"/>
    <w:rsid w:val="005C2554"/>
    <w:rsid w:val="005C2758"/>
    <w:rsid w:val="005C2940"/>
    <w:rsid w:val="005C35CA"/>
    <w:rsid w:val="005C4558"/>
    <w:rsid w:val="005C5D3B"/>
    <w:rsid w:val="005D109B"/>
    <w:rsid w:val="005D1E95"/>
    <w:rsid w:val="005D2352"/>
    <w:rsid w:val="005D5E8B"/>
    <w:rsid w:val="005D652B"/>
    <w:rsid w:val="005D6D94"/>
    <w:rsid w:val="005E0D19"/>
    <w:rsid w:val="005E1553"/>
    <w:rsid w:val="005E219B"/>
    <w:rsid w:val="005E3224"/>
    <w:rsid w:val="005E39D1"/>
    <w:rsid w:val="005E3F25"/>
    <w:rsid w:val="005E42C0"/>
    <w:rsid w:val="005E446C"/>
    <w:rsid w:val="005F00E0"/>
    <w:rsid w:val="005F05FE"/>
    <w:rsid w:val="005F1964"/>
    <w:rsid w:val="005F2E85"/>
    <w:rsid w:val="005F4D06"/>
    <w:rsid w:val="005F576C"/>
    <w:rsid w:val="005F6ECF"/>
    <w:rsid w:val="005F7DFA"/>
    <w:rsid w:val="00600273"/>
    <w:rsid w:val="006008DB"/>
    <w:rsid w:val="00600A96"/>
    <w:rsid w:val="00601B20"/>
    <w:rsid w:val="00601CD4"/>
    <w:rsid w:val="00602470"/>
    <w:rsid w:val="0060314D"/>
    <w:rsid w:val="00604D92"/>
    <w:rsid w:val="0060539A"/>
    <w:rsid w:val="006074EB"/>
    <w:rsid w:val="00607679"/>
    <w:rsid w:val="006106F6"/>
    <w:rsid w:val="00610C35"/>
    <w:rsid w:val="006130E9"/>
    <w:rsid w:val="006139A7"/>
    <w:rsid w:val="006148C7"/>
    <w:rsid w:val="006154B4"/>
    <w:rsid w:val="006155ED"/>
    <w:rsid w:val="00617091"/>
    <w:rsid w:val="006177B1"/>
    <w:rsid w:val="0062165C"/>
    <w:rsid w:val="00621F4A"/>
    <w:rsid w:val="006262F6"/>
    <w:rsid w:val="006267FC"/>
    <w:rsid w:val="006303A6"/>
    <w:rsid w:val="006306B1"/>
    <w:rsid w:val="00631346"/>
    <w:rsid w:val="00631671"/>
    <w:rsid w:val="00632ED7"/>
    <w:rsid w:val="00633BB6"/>
    <w:rsid w:val="00633E19"/>
    <w:rsid w:val="00633EA1"/>
    <w:rsid w:val="00640D32"/>
    <w:rsid w:val="006420BE"/>
    <w:rsid w:val="00643017"/>
    <w:rsid w:val="00643E94"/>
    <w:rsid w:val="00644BF8"/>
    <w:rsid w:val="006464AA"/>
    <w:rsid w:val="00647DDA"/>
    <w:rsid w:val="0065135C"/>
    <w:rsid w:val="00651660"/>
    <w:rsid w:val="00652D1A"/>
    <w:rsid w:val="006535D9"/>
    <w:rsid w:val="00654920"/>
    <w:rsid w:val="00654FC1"/>
    <w:rsid w:val="00656455"/>
    <w:rsid w:val="006567C6"/>
    <w:rsid w:val="0065766E"/>
    <w:rsid w:val="00657E40"/>
    <w:rsid w:val="00661316"/>
    <w:rsid w:val="00662979"/>
    <w:rsid w:val="00663242"/>
    <w:rsid w:val="00663C93"/>
    <w:rsid w:val="00664F59"/>
    <w:rsid w:val="00666AFB"/>
    <w:rsid w:val="00666E86"/>
    <w:rsid w:val="00667411"/>
    <w:rsid w:val="0067083A"/>
    <w:rsid w:val="00670943"/>
    <w:rsid w:val="00672392"/>
    <w:rsid w:val="00672393"/>
    <w:rsid w:val="00672B87"/>
    <w:rsid w:val="0067314C"/>
    <w:rsid w:val="00673B3E"/>
    <w:rsid w:val="00674258"/>
    <w:rsid w:val="006742AC"/>
    <w:rsid w:val="00674AB3"/>
    <w:rsid w:val="006753AD"/>
    <w:rsid w:val="006753CD"/>
    <w:rsid w:val="006758BC"/>
    <w:rsid w:val="0067695C"/>
    <w:rsid w:val="00680541"/>
    <w:rsid w:val="00681015"/>
    <w:rsid w:val="00683809"/>
    <w:rsid w:val="00683C16"/>
    <w:rsid w:val="00683E44"/>
    <w:rsid w:val="00684B5F"/>
    <w:rsid w:val="00686155"/>
    <w:rsid w:val="0068722A"/>
    <w:rsid w:val="006874CC"/>
    <w:rsid w:val="00690565"/>
    <w:rsid w:val="00690944"/>
    <w:rsid w:val="006909DA"/>
    <w:rsid w:val="00692F29"/>
    <w:rsid w:val="0069421C"/>
    <w:rsid w:val="0069590D"/>
    <w:rsid w:val="0069662A"/>
    <w:rsid w:val="0069756E"/>
    <w:rsid w:val="006A0268"/>
    <w:rsid w:val="006A0CD3"/>
    <w:rsid w:val="006A13BB"/>
    <w:rsid w:val="006A1E70"/>
    <w:rsid w:val="006A3661"/>
    <w:rsid w:val="006A3C93"/>
    <w:rsid w:val="006A4135"/>
    <w:rsid w:val="006A4EEC"/>
    <w:rsid w:val="006A53A7"/>
    <w:rsid w:val="006A64A8"/>
    <w:rsid w:val="006A64B9"/>
    <w:rsid w:val="006A6839"/>
    <w:rsid w:val="006A6A6B"/>
    <w:rsid w:val="006A7439"/>
    <w:rsid w:val="006B0598"/>
    <w:rsid w:val="006B1E7B"/>
    <w:rsid w:val="006B1E8A"/>
    <w:rsid w:val="006B434B"/>
    <w:rsid w:val="006B65B2"/>
    <w:rsid w:val="006B6E8A"/>
    <w:rsid w:val="006B715B"/>
    <w:rsid w:val="006B7DDD"/>
    <w:rsid w:val="006C1ADE"/>
    <w:rsid w:val="006C1B89"/>
    <w:rsid w:val="006C26DE"/>
    <w:rsid w:val="006C442B"/>
    <w:rsid w:val="006C4436"/>
    <w:rsid w:val="006C5A88"/>
    <w:rsid w:val="006C6B4B"/>
    <w:rsid w:val="006C6B58"/>
    <w:rsid w:val="006C6E65"/>
    <w:rsid w:val="006C714A"/>
    <w:rsid w:val="006C7C09"/>
    <w:rsid w:val="006C7C2E"/>
    <w:rsid w:val="006D0054"/>
    <w:rsid w:val="006D1B72"/>
    <w:rsid w:val="006D357C"/>
    <w:rsid w:val="006D3BC2"/>
    <w:rsid w:val="006D4EBC"/>
    <w:rsid w:val="006D521C"/>
    <w:rsid w:val="006D5750"/>
    <w:rsid w:val="006D6947"/>
    <w:rsid w:val="006D6A3E"/>
    <w:rsid w:val="006D6A98"/>
    <w:rsid w:val="006D70BD"/>
    <w:rsid w:val="006D72EB"/>
    <w:rsid w:val="006D763D"/>
    <w:rsid w:val="006E0E38"/>
    <w:rsid w:val="006E0F46"/>
    <w:rsid w:val="006E11EA"/>
    <w:rsid w:val="006E1F9A"/>
    <w:rsid w:val="006E3445"/>
    <w:rsid w:val="006E3A2C"/>
    <w:rsid w:val="006E3CCB"/>
    <w:rsid w:val="006E42FF"/>
    <w:rsid w:val="006E4AB9"/>
    <w:rsid w:val="006E702B"/>
    <w:rsid w:val="006E728F"/>
    <w:rsid w:val="006E72AE"/>
    <w:rsid w:val="006E7E6D"/>
    <w:rsid w:val="006F0156"/>
    <w:rsid w:val="006F2B48"/>
    <w:rsid w:val="006F3B70"/>
    <w:rsid w:val="006F3CD9"/>
    <w:rsid w:val="006F4165"/>
    <w:rsid w:val="006F41BD"/>
    <w:rsid w:val="006F4CBB"/>
    <w:rsid w:val="006F54B8"/>
    <w:rsid w:val="006F54ED"/>
    <w:rsid w:val="006F58A7"/>
    <w:rsid w:val="006F754A"/>
    <w:rsid w:val="00700EF2"/>
    <w:rsid w:val="00701000"/>
    <w:rsid w:val="00701455"/>
    <w:rsid w:val="0070224A"/>
    <w:rsid w:val="007034F0"/>
    <w:rsid w:val="00703658"/>
    <w:rsid w:val="00703A83"/>
    <w:rsid w:val="007041D1"/>
    <w:rsid w:val="00704277"/>
    <w:rsid w:val="007049BE"/>
    <w:rsid w:val="00704E6F"/>
    <w:rsid w:val="00704EBD"/>
    <w:rsid w:val="0070584C"/>
    <w:rsid w:val="00707B25"/>
    <w:rsid w:val="007120D4"/>
    <w:rsid w:val="00714499"/>
    <w:rsid w:val="007145E6"/>
    <w:rsid w:val="007149DC"/>
    <w:rsid w:val="00715B33"/>
    <w:rsid w:val="00716EAB"/>
    <w:rsid w:val="00717525"/>
    <w:rsid w:val="007175B3"/>
    <w:rsid w:val="00720188"/>
    <w:rsid w:val="00720887"/>
    <w:rsid w:val="007208DB"/>
    <w:rsid w:val="00720F12"/>
    <w:rsid w:val="007214D9"/>
    <w:rsid w:val="00721EF0"/>
    <w:rsid w:val="00721F25"/>
    <w:rsid w:val="00722D8D"/>
    <w:rsid w:val="00724AB5"/>
    <w:rsid w:val="00724DEC"/>
    <w:rsid w:val="00725872"/>
    <w:rsid w:val="00727009"/>
    <w:rsid w:val="007271C5"/>
    <w:rsid w:val="007275BF"/>
    <w:rsid w:val="00727AA4"/>
    <w:rsid w:val="00730A2D"/>
    <w:rsid w:val="00731C98"/>
    <w:rsid w:val="007351A1"/>
    <w:rsid w:val="007359AE"/>
    <w:rsid w:val="00735ED0"/>
    <w:rsid w:val="007368E8"/>
    <w:rsid w:val="00736D3C"/>
    <w:rsid w:val="00736E70"/>
    <w:rsid w:val="007373F7"/>
    <w:rsid w:val="007376B2"/>
    <w:rsid w:val="007401FE"/>
    <w:rsid w:val="007407D9"/>
    <w:rsid w:val="00741C89"/>
    <w:rsid w:val="00743237"/>
    <w:rsid w:val="00743ECA"/>
    <w:rsid w:val="007450E0"/>
    <w:rsid w:val="00745527"/>
    <w:rsid w:val="007477D2"/>
    <w:rsid w:val="00747BE5"/>
    <w:rsid w:val="0075176D"/>
    <w:rsid w:val="007519FF"/>
    <w:rsid w:val="00751EA6"/>
    <w:rsid w:val="00752F9F"/>
    <w:rsid w:val="007533F4"/>
    <w:rsid w:val="0075391C"/>
    <w:rsid w:val="007545AA"/>
    <w:rsid w:val="00754752"/>
    <w:rsid w:val="0075505F"/>
    <w:rsid w:val="0075570D"/>
    <w:rsid w:val="0075649E"/>
    <w:rsid w:val="00756C03"/>
    <w:rsid w:val="00756CFB"/>
    <w:rsid w:val="00757B53"/>
    <w:rsid w:val="00757CFC"/>
    <w:rsid w:val="0076082C"/>
    <w:rsid w:val="00760A72"/>
    <w:rsid w:val="00762219"/>
    <w:rsid w:val="00764205"/>
    <w:rsid w:val="00764830"/>
    <w:rsid w:val="00765E76"/>
    <w:rsid w:val="00767F0C"/>
    <w:rsid w:val="007717D8"/>
    <w:rsid w:val="007719F9"/>
    <w:rsid w:val="00773249"/>
    <w:rsid w:val="00773460"/>
    <w:rsid w:val="007754E9"/>
    <w:rsid w:val="007755FA"/>
    <w:rsid w:val="007758AF"/>
    <w:rsid w:val="0077608F"/>
    <w:rsid w:val="00776AE9"/>
    <w:rsid w:val="00776B5D"/>
    <w:rsid w:val="007771A1"/>
    <w:rsid w:val="00777A09"/>
    <w:rsid w:val="0078160C"/>
    <w:rsid w:val="00783C04"/>
    <w:rsid w:val="00783E51"/>
    <w:rsid w:val="0078496E"/>
    <w:rsid w:val="007860C8"/>
    <w:rsid w:val="00787825"/>
    <w:rsid w:val="007900B4"/>
    <w:rsid w:val="0079298E"/>
    <w:rsid w:val="00793A23"/>
    <w:rsid w:val="00794BB1"/>
    <w:rsid w:val="00796F5B"/>
    <w:rsid w:val="00797BCB"/>
    <w:rsid w:val="007A1428"/>
    <w:rsid w:val="007A1EE3"/>
    <w:rsid w:val="007A2F07"/>
    <w:rsid w:val="007A3591"/>
    <w:rsid w:val="007A4820"/>
    <w:rsid w:val="007A4CBB"/>
    <w:rsid w:val="007A652C"/>
    <w:rsid w:val="007A6890"/>
    <w:rsid w:val="007A79B5"/>
    <w:rsid w:val="007A7BAE"/>
    <w:rsid w:val="007B05CE"/>
    <w:rsid w:val="007B1718"/>
    <w:rsid w:val="007B274E"/>
    <w:rsid w:val="007B289C"/>
    <w:rsid w:val="007B2B97"/>
    <w:rsid w:val="007B37EE"/>
    <w:rsid w:val="007B3C20"/>
    <w:rsid w:val="007B3E30"/>
    <w:rsid w:val="007B43FC"/>
    <w:rsid w:val="007B49A3"/>
    <w:rsid w:val="007B4C4B"/>
    <w:rsid w:val="007B6A9D"/>
    <w:rsid w:val="007B77E4"/>
    <w:rsid w:val="007B78B4"/>
    <w:rsid w:val="007C065B"/>
    <w:rsid w:val="007C0D00"/>
    <w:rsid w:val="007C28EB"/>
    <w:rsid w:val="007C35EE"/>
    <w:rsid w:val="007C39C9"/>
    <w:rsid w:val="007C40FB"/>
    <w:rsid w:val="007C4B91"/>
    <w:rsid w:val="007C514B"/>
    <w:rsid w:val="007C662C"/>
    <w:rsid w:val="007C70A6"/>
    <w:rsid w:val="007C7568"/>
    <w:rsid w:val="007D19DF"/>
    <w:rsid w:val="007D20B7"/>
    <w:rsid w:val="007D23CB"/>
    <w:rsid w:val="007D265F"/>
    <w:rsid w:val="007D3ADA"/>
    <w:rsid w:val="007D3B49"/>
    <w:rsid w:val="007D52B9"/>
    <w:rsid w:val="007D65B1"/>
    <w:rsid w:val="007D665D"/>
    <w:rsid w:val="007D68E0"/>
    <w:rsid w:val="007D697F"/>
    <w:rsid w:val="007D6A0F"/>
    <w:rsid w:val="007D7F22"/>
    <w:rsid w:val="007E01C4"/>
    <w:rsid w:val="007E0A2E"/>
    <w:rsid w:val="007E0A88"/>
    <w:rsid w:val="007E0E0C"/>
    <w:rsid w:val="007E1188"/>
    <w:rsid w:val="007E1211"/>
    <w:rsid w:val="007E2375"/>
    <w:rsid w:val="007E3179"/>
    <w:rsid w:val="007E3439"/>
    <w:rsid w:val="007E397B"/>
    <w:rsid w:val="007E4045"/>
    <w:rsid w:val="007E48B9"/>
    <w:rsid w:val="007E51C0"/>
    <w:rsid w:val="007E6047"/>
    <w:rsid w:val="007E6243"/>
    <w:rsid w:val="007E6975"/>
    <w:rsid w:val="007E6B48"/>
    <w:rsid w:val="007E6F82"/>
    <w:rsid w:val="007E7799"/>
    <w:rsid w:val="007E79C8"/>
    <w:rsid w:val="007E7C9E"/>
    <w:rsid w:val="007F0C0B"/>
    <w:rsid w:val="007F0EDA"/>
    <w:rsid w:val="007F1C88"/>
    <w:rsid w:val="007F33F9"/>
    <w:rsid w:val="007F55EA"/>
    <w:rsid w:val="007F57D4"/>
    <w:rsid w:val="007F606E"/>
    <w:rsid w:val="007F6C26"/>
    <w:rsid w:val="008003B8"/>
    <w:rsid w:val="00800B19"/>
    <w:rsid w:val="0080213D"/>
    <w:rsid w:val="00802F45"/>
    <w:rsid w:val="0080300D"/>
    <w:rsid w:val="0080395D"/>
    <w:rsid w:val="0080445E"/>
    <w:rsid w:val="00805DA5"/>
    <w:rsid w:val="00805DC4"/>
    <w:rsid w:val="00805E5A"/>
    <w:rsid w:val="0080620F"/>
    <w:rsid w:val="00806CCA"/>
    <w:rsid w:val="0081137D"/>
    <w:rsid w:val="00812D0F"/>
    <w:rsid w:val="00814237"/>
    <w:rsid w:val="00815DA3"/>
    <w:rsid w:val="00815DCC"/>
    <w:rsid w:val="008163E9"/>
    <w:rsid w:val="0081665A"/>
    <w:rsid w:val="008176CA"/>
    <w:rsid w:val="00817989"/>
    <w:rsid w:val="00817EE7"/>
    <w:rsid w:val="00817FD7"/>
    <w:rsid w:val="00821F9C"/>
    <w:rsid w:val="008234F2"/>
    <w:rsid w:val="00824323"/>
    <w:rsid w:val="00825264"/>
    <w:rsid w:val="00825908"/>
    <w:rsid w:val="008260E0"/>
    <w:rsid w:val="00827716"/>
    <w:rsid w:val="008301FB"/>
    <w:rsid w:val="00830417"/>
    <w:rsid w:val="00831713"/>
    <w:rsid w:val="00832458"/>
    <w:rsid w:val="008327AB"/>
    <w:rsid w:val="00832C56"/>
    <w:rsid w:val="008339AF"/>
    <w:rsid w:val="00833D24"/>
    <w:rsid w:val="00834559"/>
    <w:rsid w:val="008365BB"/>
    <w:rsid w:val="008368A8"/>
    <w:rsid w:val="00836C2F"/>
    <w:rsid w:val="0084040D"/>
    <w:rsid w:val="0084171D"/>
    <w:rsid w:val="00841B4C"/>
    <w:rsid w:val="008429E0"/>
    <w:rsid w:val="00842C9E"/>
    <w:rsid w:val="008438E4"/>
    <w:rsid w:val="0084390D"/>
    <w:rsid w:val="00844491"/>
    <w:rsid w:val="008445C2"/>
    <w:rsid w:val="00845303"/>
    <w:rsid w:val="00845722"/>
    <w:rsid w:val="00846EBD"/>
    <w:rsid w:val="00851195"/>
    <w:rsid w:val="008522C5"/>
    <w:rsid w:val="00852BC8"/>
    <w:rsid w:val="00853601"/>
    <w:rsid w:val="00853663"/>
    <w:rsid w:val="008554A3"/>
    <w:rsid w:val="008555D4"/>
    <w:rsid w:val="00855638"/>
    <w:rsid w:val="00856439"/>
    <w:rsid w:val="008622DF"/>
    <w:rsid w:val="008639DF"/>
    <w:rsid w:val="00863CEC"/>
    <w:rsid w:val="008646B3"/>
    <w:rsid w:val="008646CE"/>
    <w:rsid w:val="00865D10"/>
    <w:rsid w:val="00866654"/>
    <w:rsid w:val="0086706E"/>
    <w:rsid w:val="00870B56"/>
    <w:rsid w:val="00871987"/>
    <w:rsid w:val="00871A3A"/>
    <w:rsid w:val="00871FE6"/>
    <w:rsid w:val="008737C7"/>
    <w:rsid w:val="008762B4"/>
    <w:rsid w:val="00876473"/>
    <w:rsid w:val="00877927"/>
    <w:rsid w:val="00877BDE"/>
    <w:rsid w:val="00880D2C"/>
    <w:rsid w:val="00880EA5"/>
    <w:rsid w:val="00882B04"/>
    <w:rsid w:val="00883905"/>
    <w:rsid w:val="008842D8"/>
    <w:rsid w:val="00884CB1"/>
    <w:rsid w:val="00885021"/>
    <w:rsid w:val="00885156"/>
    <w:rsid w:val="00885BD7"/>
    <w:rsid w:val="00886995"/>
    <w:rsid w:val="00886A5B"/>
    <w:rsid w:val="00886B0A"/>
    <w:rsid w:val="0089048A"/>
    <w:rsid w:val="0089091B"/>
    <w:rsid w:val="008913A1"/>
    <w:rsid w:val="008918A5"/>
    <w:rsid w:val="00892652"/>
    <w:rsid w:val="00892901"/>
    <w:rsid w:val="00892AF6"/>
    <w:rsid w:val="00893264"/>
    <w:rsid w:val="00893A95"/>
    <w:rsid w:val="00893DF2"/>
    <w:rsid w:val="008947D8"/>
    <w:rsid w:val="00894A51"/>
    <w:rsid w:val="0089595C"/>
    <w:rsid w:val="0089635D"/>
    <w:rsid w:val="00896CDB"/>
    <w:rsid w:val="00897267"/>
    <w:rsid w:val="00897C9A"/>
    <w:rsid w:val="008A07D3"/>
    <w:rsid w:val="008A0D51"/>
    <w:rsid w:val="008A185B"/>
    <w:rsid w:val="008A2218"/>
    <w:rsid w:val="008A2C50"/>
    <w:rsid w:val="008A3712"/>
    <w:rsid w:val="008A61C6"/>
    <w:rsid w:val="008A621A"/>
    <w:rsid w:val="008B0FEE"/>
    <w:rsid w:val="008B0FF4"/>
    <w:rsid w:val="008B3C55"/>
    <w:rsid w:val="008B4479"/>
    <w:rsid w:val="008B7255"/>
    <w:rsid w:val="008C02C8"/>
    <w:rsid w:val="008C0448"/>
    <w:rsid w:val="008C1223"/>
    <w:rsid w:val="008C3649"/>
    <w:rsid w:val="008C3C2D"/>
    <w:rsid w:val="008C409D"/>
    <w:rsid w:val="008C4638"/>
    <w:rsid w:val="008C4961"/>
    <w:rsid w:val="008C5B85"/>
    <w:rsid w:val="008C62BB"/>
    <w:rsid w:val="008C7499"/>
    <w:rsid w:val="008C76D9"/>
    <w:rsid w:val="008D2140"/>
    <w:rsid w:val="008D2393"/>
    <w:rsid w:val="008D26F2"/>
    <w:rsid w:val="008D5184"/>
    <w:rsid w:val="008D615E"/>
    <w:rsid w:val="008D6615"/>
    <w:rsid w:val="008D6F4E"/>
    <w:rsid w:val="008D6F6E"/>
    <w:rsid w:val="008E08F1"/>
    <w:rsid w:val="008E0BBD"/>
    <w:rsid w:val="008E11F1"/>
    <w:rsid w:val="008E1773"/>
    <w:rsid w:val="008E1A55"/>
    <w:rsid w:val="008E2C67"/>
    <w:rsid w:val="008E57BC"/>
    <w:rsid w:val="008E6ABE"/>
    <w:rsid w:val="008E71C4"/>
    <w:rsid w:val="008E7AF8"/>
    <w:rsid w:val="008F0686"/>
    <w:rsid w:val="008F1561"/>
    <w:rsid w:val="008F170F"/>
    <w:rsid w:val="008F19AB"/>
    <w:rsid w:val="008F21B6"/>
    <w:rsid w:val="008F2399"/>
    <w:rsid w:val="008F2BDB"/>
    <w:rsid w:val="008F3ABD"/>
    <w:rsid w:val="008F3D3F"/>
    <w:rsid w:val="008F41E8"/>
    <w:rsid w:val="008F4240"/>
    <w:rsid w:val="008F4C20"/>
    <w:rsid w:val="00900139"/>
    <w:rsid w:val="00901B50"/>
    <w:rsid w:val="009038FB"/>
    <w:rsid w:val="00903C64"/>
    <w:rsid w:val="0090426C"/>
    <w:rsid w:val="0090467B"/>
    <w:rsid w:val="00906033"/>
    <w:rsid w:val="00906A0C"/>
    <w:rsid w:val="00907123"/>
    <w:rsid w:val="00907784"/>
    <w:rsid w:val="00907E75"/>
    <w:rsid w:val="0091087F"/>
    <w:rsid w:val="00910EE6"/>
    <w:rsid w:val="00911089"/>
    <w:rsid w:val="00911B19"/>
    <w:rsid w:val="00912760"/>
    <w:rsid w:val="00912C9E"/>
    <w:rsid w:val="00912D2A"/>
    <w:rsid w:val="00913512"/>
    <w:rsid w:val="00913F72"/>
    <w:rsid w:val="00915807"/>
    <w:rsid w:val="00920E42"/>
    <w:rsid w:val="00921089"/>
    <w:rsid w:val="0092121E"/>
    <w:rsid w:val="009229CB"/>
    <w:rsid w:val="00922EC8"/>
    <w:rsid w:val="00923472"/>
    <w:rsid w:val="00923D28"/>
    <w:rsid w:val="00924C53"/>
    <w:rsid w:val="009258BE"/>
    <w:rsid w:val="00925BE0"/>
    <w:rsid w:val="0092614A"/>
    <w:rsid w:val="00926B71"/>
    <w:rsid w:val="00926F58"/>
    <w:rsid w:val="009270B2"/>
    <w:rsid w:val="00927852"/>
    <w:rsid w:val="00930C49"/>
    <w:rsid w:val="00930DBB"/>
    <w:rsid w:val="00931378"/>
    <w:rsid w:val="009329A1"/>
    <w:rsid w:val="00935C7B"/>
    <w:rsid w:val="009372E0"/>
    <w:rsid w:val="00942DE7"/>
    <w:rsid w:val="0094439D"/>
    <w:rsid w:val="00953108"/>
    <w:rsid w:val="00954155"/>
    <w:rsid w:val="009545FF"/>
    <w:rsid w:val="00956F29"/>
    <w:rsid w:val="0096009C"/>
    <w:rsid w:val="00960727"/>
    <w:rsid w:val="00960DE6"/>
    <w:rsid w:val="00960F63"/>
    <w:rsid w:val="009622A0"/>
    <w:rsid w:val="00962493"/>
    <w:rsid w:val="00962C4D"/>
    <w:rsid w:val="00962D0E"/>
    <w:rsid w:val="00962D55"/>
    <w:rsid w:val="00963368"/>
    <w:rsid w:val="00963B23"/>
    <w:rsid w:val="00966D50"/>
    <w:rsid w:val="00966DC9"/>
    <w:rsid w:val="00967A1C"/>
    <w:rsid w:val="00967BA5"/>
    <w:rsid w:val="0097044A"/>
    <w:rsid w:val="0097192D"/>
    <w:rsid w:val="009734D8"/>
    <w:rsid w:val="009747D9"/>
    <w:rsid w:val="00976911"/>
    <w:rsid w:val="00976BA7"/>
    <w:rsid w:val="00976EAD"/>
    <w:rsid w:val="009773E2"/>
    <w:rsid w:val="00977749"/>
    <w:rsid w:val="009809E3"/>
    <w:rsid w:val="009815CB"/>
    <w:rsid w:val="009818D1"/>
    <w:rsid w:val="00981B55"/>
    <w:rsid w:val="00982AEE"/>
    <w:rsid w:val="00982FDF"/>
    <w:rsid w:val="0098392B"/>
    <w:rsid w:val="00983A9F"/>
    <w:rsid w:val="00984C6F"/>
    <w:rsid w:val="00985EB7"/>
    <w:rsid w:val="00986ABE"/>
    <w:rsid w:val="00986FE4"/>
    <w:rsid w:val="009870CD"/>
    <w:rsid w:val="00987886"/>
    <w:rsid w:val="00987EC4"/>
    <w:rsid w:val="009901B0"/>
    <w:rsid w:val="009902F5"/>
    <w:rsid w:val="0099144C"/>
    <w:rsid w:val="009918A7"/>
    <w:rsid w:val="00991A7F"/>
    <w:rsid w:val="00992680"/>
    <w:rsid w:val="0099350C"/>
    <w:rsid w:val="0099446B"/>
    <w:rsid w:val="00994862"/>
    <w:rsid w:val="009948AD"/>
    <w:rsid w:val="009959FC"/>
    <w:rsid w:val="00997067"/>
    <w:rsid w:val="009972F1"/>
    <w:rsid w:val="009A03DB"/>
    <w:rsid w:val="009A04C3"/>
    <w:rsid w:val="009A26E6"/>
    <w:rsid w:val="009A27D0"/>
    <w:rsid w:val="009A2FD8"/>
    <w:rsid w:val="009A3126"/>
    <w:rsid w:val="009A3930"/>
    <w:rsid w:val="009A3A54"/>
    <w:rsid w:val="009A3E83"/>
    <w:rsid w:val="009A4009"/>
    <w:rsid w:val="009A45DE"/>
    <w:rsid w:val="009A48B8"/>
    <w:rsid w:val="009A48CA"/>
    <w:rsid w:val="009A4FA0"/>
    <w:rsid w:val="009A508B"/>
    <w:rsid w:val="009A5FFA"/>
    <w:rsid w:val="009A6491"/>
    <w:rsid w:val="009A753A"/>
    <w:rsid w:val="009A7EE5"/>
    <w:rsid w:val="009B2A2A"/>
    <w:rsid w:val="009B38BA"/>
    <w:rsid w:val="009B4956"/>
    <w:rsid w:val="009B598A"/>
    <w:rsid w:val="009B6431"/>
    <w:rsid w:val="009B7209"/>
    <w:rsid w:val="009C0725"/>
    <w:rsid w:val="009C0FDD"/>
    <w:rsid w:val="009C1052"/>
    <w:rsid w:val="009C1A78"/>
    <w:rsid w:val="009C3FA8"/>
    <w:rsid w:val="009C464C"/>
    <w:rsid w:val="009C50FE"/>
    <w:rsid w:val="009C5648"/>
    <w:rsid w:val="009C5782"/>
    <w:rsid w:val="009C633C"/>
    <w:rsid w:val="009C6408"/>
    <w:rsid w:val="009C6B2F"/>
    <w:rsid w:val="009D2530"/>
    <w:rsid w:val="009D3484"/>
    <w:rsid w:val="009D4DBF"/>
    <w:rsid w:val="009D501C"/>
    <w:rsid w:val="009D57F1"/>
    <w:rsid w:val="009D57F2"/>
    <w:rsid w:val="009D5D9E"/>
    <w:rsid w:val="009D6C77"/>
    <w:rsid w:val="009D6E3B"/>
    <w:rsid w:val="009D7A5C"/>
    <w:rsid w:val="009D7B1D"/>
    <w:rsid w:val="009E11A1"/>
    <w:rsid w:val="009E147B"/>
    <w:rsid w:val="009E293C"/>
    <w:rsid w:val="009E2E32"/>
    <w:rsid w:val="009E31AE"/>
    <w:rsid w:val="009E540F"/>
    <w:rsid w:val="009E548A"/>
    <w:rsid w:val="009E58C5"/>
    <w:rsid w:val="009E5C42"/>
    <w:rsid w:val="009E6B03"/>
    <w:rsid w:val="009E6BA3"/>
    <w:rsid w:val="009E6E95"/>
    <w:rsid w:val="009E7289"/>
    <w:rsid w:val="009E7A90"/>
    <w:rsid w:val="009F05E9"/>
    <w:rsid w:val="009F09B1"/>
    <w:rsid w:val="009F1285"/>
    <w:rsid w:val="009F237A"/>
    <w:rsid w:val="009F36A8"/>
    <w:rsid w:val="009F3A74"/>
    <w:rsid w:val="009F431B"/>
    <w:rsid w:val="009F5B24"/>
    <w:rsid w:val="009F74F5"/>
    <w:rsid w:val="00A00844"/>
    <w:rsid w:val="00A01AA1"/>
    <w:rsid w:val="00A031BE"/>
    <w:rsid w:val="00A03352"/>
    <w:rsid w:val="00A04565"/>
    <w:rsid w:val="00A05228"/>
    <w:rsid w:val="00A1088D"/>
    <w:rsid w:val="00A118FF"/>
    <w:rsid w:val="00A119BE"/>
    <w:rsid w:val="00A125CE"/>
    <w:rsid w:val="00A14278"/>
    <w:rsid w:val="00A15143"/>
    <w:rsid w:val="00A152D0"/>
    <w:rsid w:val="00A15FF4"/>
    <w:rsid w:val="00A16D03"/>
    <w:rsid w:val="00A16DB0"/>
    <w:rsid w:val="00A17D94"/>
    <w:rsid w:val="00A17E30"/>
    <w:rsid w:val="00A20DDC"/>
    <w:rsid w:val="00A2162E"/>
    <w:rsid w:val="00A224BE"/>
    <w:rsid w:val="00A23CF6"/>
    <w:rsid w:val="00A24DE3"/>
    <w:rsid w:val="00A26C7D"/>
    <w:rsid w:val="00A27E21"/>
    <w:rsid w:val="00A27EAF"/>
    <w:rsid w:val="00A27EE3"/>
    <w:rsid w:val="00A3005E"/>
    <w:rsid w:val="00A31627"/>
    <w:rsid w:val="00A317D1"/>
    <w:rsid w:val="00A336BA"/>
    <w:rsid w:val="00A33B8F"/>
    <w:rsid w:val="00A33D41"/>
    <w:rsid w:val="00A33E73"/>
    <w:rsid w:val="00A36580"/>
    <w:rsid w:val="00A36B95"/>
    <w:rsid w:val="00A4030C"/>
    <w:rsid w:val="00A4173F"/>
    <w:rsid w:val="00A4180B"/>
    <w:rsid w:val="00A42252"/>
    <w:rsid w:val="00A43C05"/>
    <w:rsid w:val="00A4538F"/>
    <w:rsid w:val="00A45659"/>
    <w:rsid w:val="00A462B2"/>
    <w:rsid w:val="00A47555"/>
    <w:rsid w:val="00A5066A"/>
    <w:rsid w:val="00A5118A"/>
    <w:rsid w:val="00A51470"/>
    <w:rsid w:val="00A516A0"/>
    <w:rsid w:val="00A53E5A"/>
    <w:rsid w:val="00A543BB"/>
    <w:rsid w:val="00A5546E"/>
    <w:rsid w:val="00A554BD"/>
    <w:rsid w:val="00A5564D"/>
    <w:rsid w:val="00A55BC2"/>
    <w:rsid w:val="00A56A84"/>
    <w:rsid w:val="00A56F77"/>
    <w:rsid w:val="00A60255"/>
    <w:rsid w:val="00A60277"/>
    <w:rsid w:val="00A633D3"/>
    <w:rsid w:val="00A6363F"/>
    <w:rsid w:val="00A65E6C"/>
    <w:rsid w:val="00A6651D"/>
    <w:rsid w:val="00A66740"/>
    <w:rsid w:val="00A66878"/>
    <w:rsid w:val="00A66ECA"/>
    <w:rsid w:val="00A677BF"/>
    <w:rsid w:val="00A7024F"/>
    <w:rsid w:val="00A706B7"/>
    <w:rsid w:val="00A72002"/>
    <w:rsid w:val="00A725F7"/>
    <w:rsid w:val="00A72795"/>
    <w:rsid w:val="00A732C6"/>
    <w:rsid w:val="00A735BE"/>
    <w:rsid w:val="00A739FE"/>
    <w:rsid w:val="00A73DCC"/>
    <w:rsid w:val="00A75D8F"/>
    <w:rsid w:val="00A81D8B"/>
    <w:rsid w:val="00A83F4D"/>
    <w:rsid w:val="00A8405F"/>
    <w:rsid w:val="00A8534F"/>
    <w:rsid w:val="00A8554B"/>
    <w:rsid w:val="00A864E1"/>
    <w:rsid w:val="00A86E77"/>
    <w:rsid w:val="00A87467"/>
    <w:rsid w:val="00A90431"/>
    <w:rsid w:val="00A919A9"/>
    <w:rsid w:val="00A93828"/>
    <w:rsid w:val="00A94940"/>
    <w:rsid w:val="00A95806"/>
    <w:rsid w:val="00A95CC3"/>
    <w:rsid w:val="00A95D60"/>
    <w:rsid w:val="00A95F4B"/>
    <w:rsid w:val="00A97793"/>
    <w:rsid w:val="00A97AD0"/>
    <w:rsid w:val="00A97CAE"/>
    <w:rsid w:val="00AA126C"/>
    <w:rsid w:val="00AA392A"/>
    <w:rsid w:val="00AA3B0D"/>
    <w:rsid w:val="00AA43CF"/>
    <w:rsid w:val="00AA4F35"/>
    <w:rsid w:val="00AA6662"/>
    <w:rsid w:val="00AA750C"/>
    <w:rsid w:val="00AB0D75"/>
    <w:rsid w:val="00AB111E"/>
    <w:rsid w:val="00AB1FC9"/>
    <w:rsid w:val="00AB2BF9"/>
    <w:rsid w:val="00AB4448"/>
    <w:rsid w:val="00AB5BCB"/>
    <w:rsid w:val="00AB661D"/>
    <w:rsid w:val="00AB6675"/>
    <w:rsid w:val="00AB7A24"/>
    <w:rsid w:val="00AC0289"/>
    <w:rsid w:val="00AC02D4"/>
    <w:rsid w:val="00AC0C7A"/>
    <w:rsid w:val="00AC153D"/>
    <w:rsid w:val="00AC1CEE"/>
    <w:rsid w:val="00AC29FE"/>
    <w:rsid w:val="00AC4203"/>
    <w:rsid w:val="00AC45C3"/>
    <w:rsid w:val="00AC4D5D"/>
    <w:rsid w:val="00AC7393"/>
    <w:rsid w:val="00AD0174"/>
    <w:rsid w:val="00AD0B77"/>
    <w:rsid w:val="00AD194E"/>
    <w:rsid w:val="00AD1B5A"/>
    <w:rsid w:val="00AD240F"/>
    <w:rsid w:val="00AD45D4"/>
    <w:rsid w:val="00AD66BA"/>
    <w:rsid w:val="00AD66BE"/>
    <w:rsid w:val="00AE19AD"/>
    <w:rsid w:val="00AE29E3"/>
    <w:rsid w:val="00AE2B62"/>
    <w:rsid w:val="00AE2C8F"/>
    <w:rsid w:val="00AE38FC"/>
    <w:rsid w:val="00AE4683"/>
    <w:rsid w:val="00AE51CE"/>
    <w:rsid w:val="00AE521F"/>
    <w:rsid w:val="00AE791B"/>
    <w:rsid w:val="00AE7EC2"/>
    <w:rsid w:val="00AF0205"/>
    <w:rsid w:val="00AF0232"/>
    <w:rsid w:val="00AF0F99"/>
    <w:rsid w:val="00AF11E1"/>
    <w:rsid w:val="00AF36D2"/>
    <w:rsid w:val="00AF516B"/>
    <w:rsid w:val="00AF6102"/>
    <w:rsid w:val="00AF65A6"/>
    <w:rsid w:val="00AF6BE5"/>
    <w:rsid w:val="00AF6E4B"/>
    <w:rsid w:val="00B00959"/>
    <w:rsid w:val="00B00A12"/>
    <w:rsid w:val="00B0141B"/>
    <w:rsid w:val="00B04223"/>
    <w:rsid w:val="00B04EFA"/>
    <w:rsid w:val="00B0562D"/>
    <w:rsid w:val="00B060EE"/>
    <w:rsid w:val="00B0691E"/>
    <w:rsid w:val="00B10277"/>
    <w:rsid w:val="00B104AA"/>
    <w:rsid w:val="00B10591"/>
    <w:rsid w:val="00B11468"/>
    <w:rsid w:val="00B12C16"/>
    <w:rsid w:val="00B135B3"/>
    <w:rsid w:val="00B13798"/>
    <w:rsid w:val="00B142A7"/>
    <w:rsid w:val="00B1502C"/>
    <w:rsid w:val="00B1592C"/>
    <w:rsid w:val="00B15B6F"/>
    <w:rsid w:val="00B15EB3"/>
    <w:rsid w:val="00B15FDA"/>
    <w:rsid w:val="00B16F8D"/>
    <w:rsid w:val="00B175B3"/>
    <w:rsid w:val="00B1770A"/>
    <w:rsid w:val="00B20337"/>
    <w:rsid w:val="00B21887"/>
    <w:rsid w:val="00B222A2"/>
    <w:rsid w:val="00B23E2C"/>
    <w:rsid w:val="00B241E0"/>
    <w:rsid w:val="00B316DE"/>
    <w:rsid w:val="00B31F15"/>
    <w:rsid w:val="00B31F27"/>
    <w:rsid w:val="00B338AD"/>
    <w:rsid w:val="00B339D4"/>
    <w:rsid w:val="00B349A0"/>
    <w:rsid w:val="00B35BCD"/>
    <w:rsid w:val="00B36E18"/>
    <w:rsid w:val="00B371EC"/>
    <w:rsid w:val="00B4001F"/>
    <w:rsid w:val="00B4033D"/>
    <w:rsid w:val="00B406CD"/>
    <w:rsid w:val="00B437FA"/>
    <w:rsid w:val="00B44B4D"/>
    <w:rsid w:val="00B454B0"/>
    <w:rsid w:val="00B460D4"/>
    <w:rsid w:val="00B4714A"/>
    <w:rsid w:val="00B47219"/>
    <w:rsid w:val="00B47BF5"/>
    <w:rsid w:val="00B47F71"/>
    <w:rsid w:val="00B50B22"/>
    <w:rsid w:val="00B51220"/>
    <w:rsid w:val="00B512BE"/>
    <w:rsid w:val="00B51307"/>
    <w:rsid w:val="00B51A9B"/>
    <w:rsid w:val="00B5349F"/>
    <w:rsid w:val="00B53634"/>
    <w:rsid w:val="00B5470D"/>
    <w:rsid w:val="00B547D5"/>
    <w:rsid w:val="00B55B39"/>
    <w:rsid w:val="00B5613C"/>
    <w:rsid w:val="00B56C74"/>
    <w:rsid w:val="00B60228"/>
    <w:rsid w:val="00B60BB7"/>
    <w:rsid w:val="00B60EB5"/>
    <w:rsid w:val="00B6153D"/>
    <w:rsid w:val="00B61BCD"/>
    <w:rsid w:val="00B62A40"/>
    <w:rsid w:val="00B6349F"/>
    <w:rsid w:val="00B64AE7"/>
    <w:rsid w:val="00B6525E"/>
    <w:rsid w:val="00B655C6"/>
    <w:rsid w:val="00B659D4"/>
    <w:rsid w:val="00B65BD6"/>
    <w:rsid w:val="00B663AA"/>
    <w:rsid w:val="00B6648D"/>
    <w:rsid w:val="00B66C05"/>
    <w:rsid w:val="00B66ED6"/>
    <w:rsid w:val="00B70233"/>
    <w:rsid w:val="00B702DB"/>
    <w:rsid w:val="00B70839"/>
    <w:rsid w:val="00B72D22"/>
    <w:rsid w:val="00B72D24"/>
    <w:rsid w:val="00B73BB8"/>
    <w:rsid w:val="00B7440D"/>
    <w:rsid w:val="00B76885"/>
    <w:rsid w:val="00B77E4C"/>
    <w:rsid w:val="00B77E9C"/>
    <w:rsid w:val="00B77F2D"/>
    <w:rsid w:val="00B77F63"/>
    <w:rsid w:val="00B83E93"/>
    <w:rsid w:val="00B84AF4"/>
    <w:rsid w:val="00B84AFF"/>
    <w:rsid w:val="00B84C55"/>
    <w:rsid w:val="00B851B2"/>
    <w:rsid w:val="00B872C0"/>
    <w:rsid w:val="00B87324"/>
    <w:rsid w:val="00B91124"/>
    <w:rsid w:val="00B92450"/>
    <w:rsid w:val="00B93216"/>
    <w:rsid w:val="00B9329B"/>
    <w:rsid w:val="00B937C2"/>
    <w:rsid w:val="00B93E37"/>
    <w:rsid w:val="00B940B1"/>
    <w:rsid w:val="00B94A8B"/>
    <w:rsid w:val="00B95436"/>
    <w:rsid w:val="00B959A5"/>
    <w:rsid w:val="00B967E0"/>
    <w:rsid w:val="00B971FD"/>
    <w:rsid w:val="00B97278"/>
    <w:rsid w:val="00B974DD"/>
    <w:rsid w:val="00B97950"/>
    <w:rsid w:val="00B97B21"/>
    <w:rsid w:val="00BA0024"/>
    <w:rsid w:val="00BA0C16"/>
    <w:rsid w:val="00BA2641"/>
    <w:rsid w:val="00BA40CB"/>
    <w:rsid w:val="00BA5258"/>
    <w:rsid w:val="00BA53B0"/>
    <w:rsid w:val="00BA6251"/>
    <w:rsid w:val="00BA6A00"/>
    <w:rsid w:val="00BA6ADA"/>
    <w:rsid w:val="00BA718B"/>
    <w:rsid w:val="00BA7CA9"/>
    <w:rsid w:val="00BA7E38"/>
    <w:rsid w:val="00BB09E9"/>
    <w:rsid w:val="00BB1131"/>
    <w:rsid w:val="00BB198D"/>
    <w:rsid w:val="00BB2B97"/>
    <w:rsid w:val="00BB4622"/>
    <w:rsid w:val="00BB4A46"/>
    <w:rsid w:val="00BB53F6"/>
    <w:rsid w:val="00BB5CD0"/>
    <w:rsid w:val="00BB6536"/>
    <w:rsid w:val="00BB6E8E"/>
    <w:rsid w:val="00BC0EF0"/>
    <w:rsid w:val="00BC2EBC"/>
    <w:rsid w:val="00BC39D4"/>
    <w:rsid w:val="00BC4E3F"/>
    <w:rsid w:val="00BC75C4"/>
    <w:rsid w:val="00BC7E1E"/>
    <w:rsid w:val="00BD0665"/>
    <w:rsid w:val="00BD1517"/>
    <w:rsid w:val="00BD2F76"/>
    <w:rsid w:val="00BD3D66"/>
    <w:rsid w:val="00BD3E58"/>
    <w:rsid w:val="00BD40DE"/>
    <w:rsid w:val="00BD4495"/>
    <w:rsid w:val="00BD45D8"/>
    <w:rsid w:val="00BD4A7B"/>
    <w:rsid w:val="00BD682F"/>
    <w:rsid w:val="00BE01D2"/>
    <w:rsid w:val="00BE13C5"/>
    <w:rsid w:val="00BE1C60"/>
    <w:rsid w:val="00BE1CD1"/>
    <w:rsid w:val="00BE2BCA"/>
    <w:rsid w:val="00BE2D54"/>
    <w:rsid w:val="00BE3123"/>
    <w:rsid w:val="00BE357E"/>
    <w:rsid w:val="00BE42DD"/>
    <w:rsid w:val="00BE4324"/>
    <w:rsid w:val="00BE4889"/>
    <w:rsid w:val="00BE6A01"/>
    <w:rsid w:val="00BE6D98"/>
    <w:rsid w:val="00BF2846"/>
    <w:rsid w:val="00BF2E77"/>
    <w:rsid w:val="00BF4754"/>
    <w:rsid w:val="00BF5232"/>
    <w:rsid w:val="00BF5E2D"/>
    <w:rsid w:val="00BF6001"/>
    <w:rsid w:val="00BF6EA2"/>
    <w:rsid w:val="00BF76BF"/>
    <w:rsid w:val="00C00AA7"/>
    <w:rsid w:val="00C01ADC"/>
    <w:rsid w:val="00C02EF8"/>
    <w:rsid w:val="00C03100"/>
    <w:rsid w:val="00C038AC"/>
    <w:rsid w:val="00C04685"/>
    <w:rsid w:val="00C04B3A"/>
    <w:rsid w:val="00C04C66"/>
    <w:rsid w:val="00C05325"/>
    <w:rsid w:val="00C0573D"/>
    <w:rsid w:val="00C057DB"/>
    <w:rsid w:val="00C05E81"/>
    <w:rsid w:val="00C06257"/>
    <w:rsid w:val="00C06BAA"/>
    <w:rsid w:val="00C07FB1"/>
    <w:rsid w:val="00C109B8"/>
    <w:rsid w:val="00C10A92"/>
    <w:rsid w:val="00C1174A"/>
    <w:rsid w:val="00C12426"/>
    <w:rsid w:val="00C12D74"/>
    <w:rsid w:val="00C138FC"/>
    <w:rsid w:val="00C139C6"/>
    <w:rsid w:val="00C13F53"/>
    <w:rsid w:val="00C1411F"/>
    <w:rsid w:val="00C148E9"/>
    <w:rsid w:val="00C14CE0"/>
    <w:rsid w:val="00C15970"/>
    <w:rsid w:val="00C17407"/>
    <w:rsid w:val="00C179B3"/>
    <w:rsid w:val="00C20466"/>
    <w:rsid w:val="00C205BD"/>
    <w:rsid w:val="00C21AE3"/>
    <w:rsid w:val="00C2287A"/>
    <w:rsid w:val="00C23747"/>
    <w:rsid w:val="00C25040"/>
    <w:rsid w:val="00C2512F"/>
    <w:rsid w:val="00C25E74"/>
    <w:rsid w:val="00C26954"/>
    <w:rsid w:val="00C27239"/>
    <w:rsid w:val="00C3025A"/>
    <w:rsid w:val="00C30574"/>
    <w:rsid w:val="00C30799"/>
    <w:rsid w:val="00C3234D"/>
    <w:rsid w:val="00C32CAC"/>
    <w:rsid w:val="00C33A66"/>
    <w:rsid w:val="00C33D79"/>
    <w:rsid w:val="00C341DD"/>
    <w:rsid w:val="00C349EC"/>
    <w:rsid w:val="00C364AF"/>
    <w:rsid w:val="00C371F6"/>
    <w:rsid w:val="00C37B7A"/>
    <w:rsid w:val="00C41468"/>
    <w:rsid w:val="00C42479"/>
    <w:rsid w:val="00C424A9"/>
    <w:rsid w:val="00C447F2"/>
    <w:rsid w:val="00C44887"/>
    <w:rsid w:val="00C448ED"/>
    <w:rsid w:val="00C450DD"/>
    <w:rsid w:val="00C45B8D"/>
    <w:rsid w:val="00C45EFA"/>
    <w:rsid w:val="00C46D7F"/>
    <w:rsid w:val="00C476D0"/>
    <w:rsid w:val="00C4791F"/>
    <w:rsid w:val="00C47976"/>
    <w:rsid w:val="00C47C6B"/>
    <w:rsid w:val="00C5019A"/>
    <w:rsid w:val="00C50685"/>
    <w:rsid w:val="00C5106C"/>
    <w:rsid w:val="00C51801"/>
    <w:rsid w:val="00C51864"/>
    <w:rsid w:val="00C534CC"/>
    <w:rsid w:val="00C53829"/>
    <w:rsid w:val="00C548D1"/>
    <w:rsid w:val="00C55467"/>
    <w:rsid w:val="00C56715"/>
    <w:rsid w:val="00C56B9C"/>
    <w:rsid w:val="00C5721B"/>
    <w:rsid w:val="00C6102D"/>
    <w:rsid w:val="00C610D4"/>
    <w:rsid w:val="00C62018"/>
    <w:rsid w:val="00C6346E"/>
    <w:rsid w:val="00C647F6"/>
    <w:rsid w:val="00C65C80"/>
    <w:rsid w:val="00C65CF9"/>
    <w:rsid w:val="00C6670C"/>
    <w:rsid w:val="00C671AC"/>
    <w:rsid w:val="00C7013C"/>
    <w:rsid w:val="00C71C16"/>
    <w:rsid w:val="00C725CA"/>
    <w:rsid w:val="00C744B5"/>
    <w:rsid w:val="00C74A25"/>
    <w:rsid w:val="00C7512A"/>
    <w:rsid w:val="00C752EB"/>
    <w:rsid w:val="00C75D0B"/>
    <w:rsid w:val="00C77613"/>
    <w:rsid w:val="00C80572"/>
    <w:rsid w:val="00C8111A"/>
    <w:rsid w:val="00C839DE"/>
    <w:rsid w:val="00C83AA2"/>
    <w:rsid w:val="00C83BB3"/>
    <w:rsid w:val="00C852FE"/>
    <w:rsid w:val="00C8594A"/>
    <w:rsid w:val="00C860E9"/>
    <w:rsid w:val="00C8681C"/>
    <w:rsid w:val="00C87B2D"/>
    <w:rsid w:val="00C907F2"/>
    <w:rsid w:val="00C908F8"/>
    <w:rsid w:val="00C90AF2"/>
    <w:rsid w:val="00C91365"/>
    <w:rsid w:val="00C917D4"/>
    <w:rsid w:val="00C93ACC"/>
    <w:rsid w:val="00C93AD9"/>
    <w:rsid w:val="00C94C14"/>
    <w:rsid w:val="00C95BB3"/>
    <w:rsid w:val="00C96235"/>
    <w:rsid w:val="00C96658"/>
    <w:rsid w:val="00C969EE"/>
    <w:rsid w:val="00C97B31"/>
    <w:rsid w:val="00CA0A10"/>
    <w:rsid w:val="00CA0D3E"/>
    <w:rsid w:val="00CA1B81"/>
    <w:rsid w:val="00CA2071"/>
    <w:rsid w:val="00CA2C42"/>
    <w:rsid w:val="00CA329E"/>
    <w:rsid w:val="00CA5048"/>
    <w:rsid w:val="00CA6AC9"/>
    <w:rsid w:val="00CA6F15"/>
    <w:rsid w:val="00CA7E0A"/>
    <w:rsid w:val="00CB0AF9"/>
    <w:rsid w:val="00CB11C1"/>
    <w:rsid w:val="00CB14E5"/>
    <w:rsid w:val="00CB5DC2"/>
    <w:rsid w:val="00CB66D7"/>
    <w:rsid w:val="00CC1401"/>
    <w:rsid w:val="00CC19AC"/>
    <w:rsid w:val="00CC1B1B"/>
    <w:rsid w:val="00CC3769"/>
    <w:rsid w:val="00CC387C"/>
    <w:rsid w:val="00CC4255"/>
    <w:rsid w:val="00CC472E"/>
    <w:rsid w:val="00CC4B17"/>
    <w:rsid w:val="00CC5934"/>
    <w:rsid w:val="00CC6236"/>
    <w:rsid w:val="00CC74CB"/>
    <w:rsid w:val="00CD02D8"/>
    <w:rsid w:val="00CD0E04"/>
    <w:rsid w:val="00CD16FF"/>
    <w:rsid w:val="00CD30B4"/>
    <w:rsid w:val="00CD47D2"/>
    <w:rsid w:val="00CD4807"/>
    <w:rsid w:val="00CD571B"/>
    <w:rsid w:val="00CD5BAD"/>
    <w:rsid w:val="00CD6B8A"/>
    <w:rsid w:val="00CE0469"/>
    <w:rsid w:val="00CE0B40"/>
    <w:rsid w:val="00CE18F5"/>
    <w:rsid w:val="00CE3D76"/>
    <w:rsid w:val="00CE42A6"/>
    <w:rsid w:val="00CE5072"/>
    <w:rsid w:val="00CE54A2"/>
    <w:rsid w:val="00CE6A92"/>
    <w:rsid w:val="00CE6F2E"/>
    <w:rsid w:val="00CE7366"/>
    <w:rsid w:val="00CF0AFD"/>
    <w:rsid w:val="00CF0E06"/>
    <w:rsid w:val="00CF0EE3"/>
    <w:rsid w:val="00CF1279"/>
    <w:rsid w:val="00CF165A"/>
    <w:rsid w:val="00CF4091"/>
    <w:rsid w:val="00CF42B3"/>
    <w:rsid w:val="00CF45E3"/>
    <w:rsid w:val="00CF49A0"/>
    <w:rsid w:val="00CF4A3F"/>
    <w:rsid w:val="00CF5438"/>
    <w:rsid w:val="00CF5BAC"/>
    <w:rsid w:val="00CF71D8"/>
    <w:rsid w:val="00CF751F"/>
    <w:rsid w:val="00D01B1A"/>
    <w:rsid w:val="00D01DD2"/>
    <w:rsid w:val="00D01F43"/>
    <w:rsid w:val="00D02C90"/>
    <w:rsid w:val="00D02CED"/>
    <w:rsid w:val="00D0340D"/>
    <w:rsid w:val="00D05325"/>
    <w:rsid w:val="00D05EF3"/>
    <w:rsid w:val="00D073DB"/>
    <w:rsid w:val="00D100BA"/>
    <w:rsid w:val="00D10FDE"/>
    <w:rsid w:val="00D11298"/>
    <w:rsid w:val="00D11CBF"/>
    <w:rsid w:val="00D13227"/>
    <w:rsid w:val="00D1428C"/>
    <w:rsid w:val="00D14DFD"/>
    <w:rsid w:val="00D151FD"/>
    <w:rsid w:val="00D15931"/>
    <w:rsid w:val="00D17A98"/>
    <w:rsid w:val="00D20646"/>
    <w:rsid w:val="00D20A8D"/>
    <w:rsid w:val="00D218AC"/>
    <w:rsid w:val="00D223D1"/>
    <w:rsid w:val="00D225CA"/>
    <w:rsid w:val="00D2262E"/>
    <w:rsid w:val="00D22733"/>
    <w:rsid w:val="00D23967"/>
    <w:rsid w:val="00D241B3"/>
    <w:rsid w:val="00D26EDC"/>
    <w:rsid w:val="00D2741D"/>
    <w:rsid w:val="00D30C66"/>
    <w:rsid w:val="00D32C19"/>
    <w:rsid w:val="00D32C5F"/>
    <w:rsid w:val="00D33BF1"/>
    <w:rsid w:val="00D36799"/>
    <w:rsid w:val="00D368E9"/>
    <w:rsid w:val="00D370DF"/>
    <w:rsid w:val="00D370E6"/>
    <w:rsid w:val="00D3757C"/>
    <w:rsid w:val="00D403FB"/>
    <w:rsid w:val="00D4054A"/>
    <w:rsid w:val="00D40627"/>
    <w:rsid w:val="00D40A12"/>
    <w:rsid w:val="00D4304B"/>
    <w:rsid w:val="00D43175"/>
    <w:rsid w:val="00D43AD2"/>
    <w:rsid w:val="00D43BAA"/>
    <w:rsid w:val="00D43EA4"/>
    <w:rsid w:val="00D458DB"/>
    <w:rsid w:val="00D45942"/>
    <w:rsid w:val="00D46400"/>
    <w:rsid w:val="00D46C16"/>
    <w:rsid w:val="00D50352"/>
    <w:rsid w:val="00D513C4"/>
    <w:rsid w:val="00D514A6"/>
    <w:rsid w:val="00D5172B"/>
    <w:rsid w:val="00D51CB7"/>
    <w:rsid w:val="00D52114"/>
    <w:rsid w:val="00D52457"/>
    <w:rsid w:val="00D52BAE"/>
    <w:rsid w:val="00D54A9A"/>
    <w:rsid w:val="00D54D68"/>
    <w:rsid w:val="00D56619"/>
    <w:rsid w:val="00D56671"/>
    <w:rsid w:val="00D56EB6"/>
    <w:rsid w:val="00D57632"/>
    <w:rsid w:val="00D57E7C"/>
    <w:rsid w:val="00D6013B"/>
    <w:rsid w:val="00D60B84"/>
    <w:rsid w:val="00D62486"/>
    <w:rsid w:val="00D639A0"/>
    <w:rsid w:val="00D65E11"/>
    <w:rsid w:val="00D66B62"/>
    <w:rsid w:val="00D675DC"/>
    <w:rsid w:val="00D6785D"/>
    <w:rsid w:val="00D70192"/>
    <w:rsid w:val="00D70764"/>
    <w:rsid w:val="00D70BA3"/>
    <w:rsid w:val="00D727BC"/>
    <w:rsid w:val="00D72D65"/>
    <w:rsid w:val="00D72DC9"/>
    <w:rsid w:val="00D73166"/>
    <w:rsid w:val="00D7597B"/>
    <w:rsid w:val="00D75A15"/>
    <w:rsid w:val="00D7644D"/>
    <w:rsid w:val="00D77681"/>
    <w:rsid w:val="00D82806"/>
    <w:rsid w:val="00D83486"/>
    <w:rsid w:val="00D84342"/>
    <w:rsid w:val="00D845CD"/>
    <w:rsid w:val="00D84CAF"/>
    <w:rsid w:val="00D85810"/>
    <w:rsid w:val="00D86818"/>
    <w:rsid w:val="00D87868"/>
    <w:rsid w:val="00D87A67"/>
    <w:rsid w:val="00D87D72"/>
    <w:rsid w:val="00D903DC"/>
    <w:rsid w:val="00D90E66"/>
    <w:rsid w:val="00D92BF3"/>
    <w:rsid w:val="00D943FB"/>
    <w:rsid w:val="00D94BB2"/>
    <w:rsid w:val="00D95235"/>
    <w:rsid w:val="00D95703"/>
    <w:rsid w:val="00D95B79"/>
    <w:rsid w:val="00D9775B"/>
    <w:rsid w:val="00DA0D72"/>
    <w:rsid w:val="00DA1238"/>
    <w:rsid w:val="00DA1AE3"/>
    <w:rsid w:val="00DA1E76"/>
    <w:rsid w:val="00DA25FB"/>
    <w:rsid w:val="00DA3D6F"/>
    <w:rsid w:val="00DA5CBB"/>
    <w:rsid w:val="00DA714C"/>
    <w:rsid w:val="00DA72DD"/>
    <w:rsid w:val="00DA7DC3"/>
    <w:rsid w:val="00DB0DA3"/>
    <w:rsid w:val="00DB220D"/>
    <w:rsid w:val="00DB26E7"/>
    <w:rsid w:val="00DB2963"/>
    <w:rsid w:val="00DB2E2E"/>
    <w:rsid w:val="00DB37EC"/>
    <w:rsid w:val="00DB408E"/>
    <w:rsid w:val="00DB47DD"/>
    <w:rsid w:val="00DB5031"/>
    <w:rsid w:val="00DB58F9"/>
    <w:rsid w:val="00DB61CA"/>
    <w:rsid w:val="00DB7216"/>
    <w:rsid w:val="00DB75EB"/>
    <w:rsid w:val="00DB77B8"/>
    <w:rsid w:val="00DB7875"/>
    <w:rsid w:val="00DB7AF6"/>
    <w:rsid w:val="00DB7B87"/>
    <w:rsid w:val="00DC03AC"/>
    <w:rsid w:val="00DC0716"/>
    <w:rsid w:val="00DC0783"/>
    <w:rsid w:val="00DC0832"/>
    <w:rsid w:val="00DC177E"/>
    <w:rsid w:val="00DC4453"/>
    <w:rsid w:val="00DC479D"/>
    <w:rsid w:val="00DC50DE"/>
    <w:rsid w:val="00DC5C6E"/>
    <w:rsid w:val="00DC6448"/>
    <w:rsid w:val="00DC6A8D"/>
    <w:rsid w:val="00DC787E"/>
    <w:rsid w:val="00DC7CCF"/>
    <w:rsid w:val="00DD091B"/>
    <w:rsid w:val="00DD1DC1"/>
    <w:rsid w:val="00DD2979"/>
    <w:rsid w:val="00DD3219"/>
    <w:rsid w:val="00DD37E8"/>
    <w:rsid w:val="00DD471F"/>
    <w:rsid w:val="00DD4829"/>
    <w:rsid w:val="00DD491F"/>
    <w:rsid w:val="00DD5A48"/>
    <w:rsid w:val="00DD6DEA"/>
    <w:rsid w:val="00DD74EA"/>
    <w:rsid w:val="00DD7552"/>
    <w:rsid w:val="00DE01C9"/>
    <w:rsid w:val="00DE1314"/>
    <w:rsid w:val="00DE247A"/>
    <w:rsid w:val="00DE3607"/>
    <w:rsid w:val="00DE6268"/>
    <w:rsid w:val="00DF0089"/>
    <w:rsid w:val="00DF1668"/>
    <w:rsid w:val="00DF2073"/>
    <w:rsid w:val="00DF3E6C"/>
    <w:rsid w:val="00DF4026"/>
    <w:rsid w:val="00DF4BA1"/>
    <w:rsid w:val="00DF4D71"/>
    <w:rsid w:val="00DF533B"/>
    <w:rsid w:val="00DF655E"/>
    <w:rsid w:val="00DF7409"/>
    <w:rsid w:val="00DF766C"/>
    <w:rsid w:val="00E00BB7"/>
    <w:rsid w:val="00E01441"/>
    <w:rsid w:val="00E048AC"/>
    <w:rsid w:val="00E04E74"/>
    <w:rsid w:val="00E06313"/>
    <w:rsid w:val="00E114DE"/>
    <w:rsid w:val="00E117AD"/>
    <w:rsid w:val="00E12791"/>
    <w:rsid w:val="00E12FE5"/>
    <w:rsid w:val="00E13C25"/>
    <w:rsid w:val="00E14272"/>
    <w:rsid w:val="00E148D4"/>
    <w:rsid w:val="00E14D19"/>
    <w:rsid w:val="00E14E12"/>
    <w:rsid w:val="00E1568A"/>
    <w:rsid w:val="00E15B38"/>
    <w:rsid w:val="00E175E4"/>
    <w:rsid w:val="00E208D8"/>
    <w:rsid w:val="00E2325A"/>
    <w:rsid w:val="00E234FE"/>
    <w:rsid w:val="00E2569F"/>
    <w:rsid w:val="00E264DB"/>
    <w:rsid w:val="00E26ABC"/>
    <w:rsid w:val="00E27A5A"/>
    <w:rsid w:val="00E27BEB"/>
    <w:rsid w:val="00E32743"/>
    <w:rsid w:val="00E3399A"/>
    <w:rsid w:val="00E33AA3"/>
    <w:rsid w:val="00E34039"/>
    <w:rsid w:val="00E34F8A"/>
    <w:rsid w:val="00E3535C"/>
    <w:rsid w:val="00E3770E"/>
    <w:rsid w:val="00E40285"/>
    <w:rsid w:val="00E4147C"/>
    <w:rsid w:val="00E423B1"/>
    <w:rsid w:val="00E42F5D"/>
    <w:rsid w:val="00E4325D"/>
    <w:rsid w:val="00E446F4"/>
    <w:rsid w:val="00E45BC3"/>
    <w:rsid w:val="00E46426"/>
    <w:rsid w:val="00E46506"/>
    <w:rsid w:val="00E46C6E"/>
    <w:rsid w:val="00E46F86"/>
    <w:rsid w:val="00E4701B"/>
    <w:rsid w:val="00E47060"/>
    <w:rsid w:val="00E503E6"/>
    <w:rsid w:val="00E50E0B"/>
    <w:rsid w:val="00E52DD1"/>
    <w:rsid w:val="00E53342"/>
    <w:rsid w:val="00E53B7A"/>
    <w:rsid w:val="00E53D41"/>
    <w:rsid w:val="00E556F3"/>
    <w:rsid w:val="00E55BC6"/>
    <w:rsid w:val="00E562E6"/>
    <w:rsid w:val="00E575F1"/>
    <w:rsid w:val="00E57D88"/>
    <w:rsid w:val="00E57DC4"/>
    <w:rsid w:val="00E57DCC"/>
    <w:rsid w:val="00E60043"/>
    <w:rsid w:val="00E60CD5"/>
    <w:rsid w:val="00E618DA"/>
    <w:rsid w:val="00E62844"/>
    <w:rsid w:val="00E62E02"/>
    <w:rsid w:val="00E63C7F"/>
    <w:rsid w:val="00E6593C"/>
    <w:rsid w:val="00E66307"/>
    <w:rsid w:val="00E670C7"/>
    <w:rsid w:val="00E6717B"/>
    <w:rsid w:val="00E6722E"/>
    <w:rsid w:val="00E67330"/>
    <w:rsid w:val="00E704CA"/>
    <w:rsid w:val="00E71082"/>
    <w:rsid w:val="00E710F8"/>
    <w:rsid w:val="00E71A86"/>
    <w:rsid w:val="00E71F62"/>
    <w:rsid w:val="00E73610"/>
    <w:rsid w:val="00E73C61"/>
    <w:rsid w:val="00E741B4"/>
    <w:rsid w:val="00E750A8"/>
    <w:rsid w:val="00E7514C"/>
    <w:rsid w:val="00E75C01"/>
    <w:rsid w:val="00E75DF5"/>
    <w:rsid w:val="00E764D5"/>
    <w:rsid w:val="00E767D1"/>
    <w:rsid w:val="00E76A39"/>
    <w:rsid w:val="00E76E06"/>
    <w:rsid w:val="00E77906"/>
    <w:rsid w:val="00E80895"/>
    <w:rsid w:val="00E81F26"/>
    <w:rsid w:val="00E82C95"/>
    <w:rsid w:val="00E82EB6"/>
    <w:rsid w:val="00E82EB9"/>
    <w:rsid w:val="00E85297"/>
    <w:rsid w:val="00E85B87"/>
    <w:rsid w:val="00E919EF"/>
    <w:rsid w:val="00E92168"/>
    <w:rsid w:val="00E92560"/>
    <w:rsid w:val="00E9297C"/>
    <w:rsid w:val="00E92B34"/>
    <w:rsid w:val="00E930CF"/>
    <w:rsid w:val="00E93296"/>
    <w:rsid w:val="00E93C86"/>
    <w:rsid w:val="00E940F0"/>
    <w:rsid w:val="00E95102"/>
    <w:rsid w:val="00E952C2"/>
    <w:rsid w:val="00E9550E"/>
    <w:rsid w:val="00E95C42"/>
    <w:rsid w:val="00E965C9"/>
    <w:rsid w:val="00E96657"/>
    <w:rsid w:val="00E97667"/>
    <w:rsid w:val="00EA02FE"/>
    <w:rsid w:val="00EA0A6C"/>
    <w:rsid w:val="00EA2872"/>
    <w:rsid w:val="00EA32A9"/>
    <w:rsid w:val="00EA4E80"/>
    <w:rsid w:val="00EA5E14"/>
    <w:rsid w:val="00EA75B5"/>
    <w:rsid w:val="00EB0B2D"/>
    <w:rsid w:val="00EB1811"/>
    <w:rsid w:val="00EB1F52"/>
    <w:rsid w:val="00EB36A5"/>
    <w:rsid w:val="00EB55CF"/>
    <w:rsid w:val="00EB59FB"/>
    <w:rsid w:val="00EB61DF"/>
    <w:rsid w:val="00EB6CF5"/>
    <w:rsid w:val="00EC01E7"/>
    <w:rsid w:val="00EC2008"/>
    <w:rsid w:val="00EC2737"/>
    <w:rsid w:val="00EC3661"/>
    <w:rsid w:val="00EC3BA4"/>
    <w:rsid w:val="00EC4031"/>
    <w:rsid w:val="00EC48FD"/>
    <w:rsid w:val="00EC4B77"/>
    <w:rsid w:val="00EC5E6A"/>
    <w:rsid w:val="00EC682D"/>
    <w:rsid w:val="00ED0B08"/>
    <w:rsid w:val="00ED1922"/>
    <w:rsid w:val="00ED2F2C"/>
    <w:rsid w:val="00ED3681"/>
    <w:rsid w:val="00ED3B6D"/>
    <w:rsid w:val="00ED3FD7"/>
    <w:rsid w:val="00ED4461"/>
    <w:rsid w:val="00ED47C4"/>
    <w:rsid w:val="00ED4B3E"/>
    <w:rsid w:val="00ED76E9"/>
    <w:rsid w:val="00ED7F78"/>
    <w:rsid w:val="00EE1044"/>
    <w:rsid w:val="00EE19DB"/>
    <w:rsid w:val="00EE2435"/>
    <w:rsid w:val="00EE2A1C"/>
    <w:rsid w:val="00EE2C61"/>
    <w:rsid w:val="00EE3B9A"/>
    <w:rsid w:val="00EE422E"/>
    <w:rsid w:val="00EE56D7"/>
    <w:rsid w:val="00EE735F"/>
    <w:rsid w:val="00EE738A"/>
    <w:rsid w:val="00EE7FE7"/>
    <w:rsid w:val="00EF0A18"/>
    <w:rsid w:val="00EF2A2E"/>
    <w:rsid w:val="00EF36BD"/>
    <w:rsid w:val="00EF4185"/>
    <w:rsid w:val="00EF4C02"/>
    <w:rsid w:val="00EF5AF3"/>
    <w:rsid w:val="00EF5C21"/>
    <w:rsid w:val="00F00E66"/>
    <w:rsid w:val="00F01701"/>
    <w:rsid w:val="00F0245F"/>
    <w:rsid w:val="00F02612"/>
    <w:rsid w:val="00F0282D"/>
    <w:rsid w:val="00F02CC1"/>
    <w:rsid w:val="00F04F32"/>
    <w:rsid w:val="00F07DB9"/>
    <w:rsid w:val="00F10306"/>
    <w:rsid w:val="00F10B59"/>
    <w:rsid w:val="00F113F1"/>
    <w:rsid w:val="00F1269A"/>
    <w:rsid w:val="00F13719"/>
    <w:rsid w:val="00F1448A"/>
    <w:rsid w:val="00F16229"/>
    <w:rsid w:val="00F16F82"/>
    <w:rsid w:val="00F21640"/>
    <w:rsid w:val="00F22E5B"/>
    <w:rsid w:val="00F236C7"/>
    <w:rsid w:val="00F236CF"/>
    <w:rsid w:val="00F23F4D"/>
    <w:rsid w:val="00F242FD"/>
    <w:rsid w:val="00F248DC"/>
    <w:rsid w:val="00F24B06"/>
    <w:rsid w:val="00F24C9D"/>
    <w:rsid w:val="00F25229"/>
    <w:rsid w:val="00F26AE8"/>
    <w:rsid w:val="00F2788D"/>
    <w:rsid w:val="00F30497"/>
    <w:rsid w:val="00F308BB"/>
    <w:rsid w:val="00F3180E"/>
    <w:rsid w:val="00F31B76"/>
    <w:rsid w:val="00F33C47"/>
    <w:rsid w:val="00F341E9"/>
    <w:rsid w:val="00F351B2"/>
    <w:rsid w:val="00F356DD"/>
    <w:rsid w:val="00F35F33"/>
    <w:rsid w:val="00F376FA"/>
    <w:rsid w:val="00F37C84"/>
    <w:rsid w:val="00F37E30"/>
    <w:rsid w:val="00F41C4A"/>
    <w:rsid w:val="00F4210A"/>
    <w:rsid w:val="00F459C3"/>
    <w:rsid w:val="00F46EEA"/>
    <w:rsid w:val="00F47331"/>
    <w:rsid w:val="00F47375"/>
    <w:rsid w:val="00F50C12"/>
    <w:rsid w:val="00F515C5"/>
    <w:rsid w:val="00F531CA"/>
    <w:rsid w:val="00F53732"/>
    <w:rsid w:val="00F53FE5"/>
    <w:rsid w:val="00F54383"/>
    <w:rsid w:val="00F5478F"/>
    <w:rsid w:val="00F54AA4"/>
    <w:rsid w:val="00F54CE6"/>
    <w:rsid w:val="00F55AB4"/>
    <w:rsid w:val="00F5632F"/>
    <w:rsid w:val="00F570C7"/>
    <w:rsid w:val="00F62253"/>
    <w:rsid w:val="00F6342F"/>
    <w:rsid w:val="00F63D3F"/>
    <w:rsid w:val="00F6482A"/>
    <w:rsid w:val="00F651CE"/>
    <w:rsid w:val="00F66083"/>
    <w:rsid w:val="00F66AEE"/>
    <w:rsid w:val="00F67112"/>
    <w:rsid w:val="00F67D9A"/>
    <w:rsid w:val="00F72DBE"/>
    <w:rsid w:val="00F74AD4"/>
    <w:rsid w:val="00F74F8B"/>
    <w:rsid w:val="00F7544C"/>
    <w:rsid w:val="00F77081"/>
    <w:rsid w:val="00F81534"/>
    <w:rsid w:val="00F82708"/>
    <w:rsid w:val="00F82A3B"/>
    <w:rsid w:val="00F85807"/>
    <w:rsid w:val="00F8594C"/>
    <w:rsid w:val="00F860BB"/>
    <w:rsid w:val="00F867E2"/>
    <w:rsid w:val="00F879D0"/>
    <w:rsid w:val="00F87C60"/>
    <w:rsid w:val="00F87FBF"/>
    <w:rsid w:val="00F91145"/>
    <w:rsid w:val="00F9137E"/>
    <w:rsid w:val="00F91F1B"/>
    <w:rsid w:val="00F94D0E"/>
    <w:rsid w:val="00F94EBF"/>
    <w:rsid w:val="00F957FB"/>
    <w:rsid w:val="00F9656B"/>
    <w:rsid w:val="00F97B5D"/>
    <w:rsid w:val="00F97D7A"/>
    <w:rsid w:val="00FA07DA"/>
    <w:rsid w:val="00FA094A"/>
    <w:rsid w:val="00FA1130"/>
    <w:rsid w:val="00FA1858"/>
    <w:rsid w:val="00FA2CAB"/>
    <w:rsid w:val="00FA2DEB"/>
    <w:rsid w:val="00FA4B14"/>
    <w:rsid w:val="00FA6268"/>
    <w:rsid w:val="00FA62AE"/>
    <w:rsid w:val="00FA670C"/>
    <w:rsid w:val="00FB0510"/>
    <w:rsid w:val="00FB104C"/>
    <w:rsid w:val="00FB1343"/>
    <w:rsid w:val="00FB1BC4"/>
    <w:rsid w:val="00FB389A"/>
    <w:rsid w:val="00FB5284"/>
    <w:rsid w:val="00FB5431"/>
    <w:rsid w:val="00FB5B07"/>
    <w:rsid w:val="00FC0406"/>
    <w:rsid w:val="00FC0649"/>
    <w:rsid w:val="00FC10E7"/>
    <w:rsid w:val="00FC194C"/>
    <w:rsid w:val="00FC1A17"/>
    <w:rsid w:val="00FC2A8D"/>
    <w:rsid w:val="00FC2EF4"/>
    <w:rsid w:val="00FC366D"/>
    <w:rsid w:val="00FC38F6"/>
    <w:rsid w:val="00FC390B"/>
    <w:rsid w:val="00FC50A8"/>
    <w:rsid w:val="00FC5239"/>
    <w:rsid w:val="00FC569A"/>
    <w:rsid w:val="00FC6030"/>
    <w:rsid w:val="00FC6D98"/>
    <w:rsid w:val="00FC7136"/>
    <w:rsid w:val="00FC7177"/>
    <w:rsid w:val="00FC7A75"/>
    <w:rsid w:val="00FD193E"/>
    <w:rsid w:val="00FD1C34"/>
    <w:rsid w:val="00FD313F"/>
    <w:rsid w:val="00FD3241"/>
    <w:rsid w:val="00FD3C3C"/>
    <w:rsid w:val="00FD3D1A"/>
    <w:rsid w:val="00FD4705"/>
    <w:rsid w:val="00FD561B"/>
    <w:rsid w:val="00FD5D8F"/>
    <w:rsid w:val="00FD5E09"/>
    <w:rsid w:val="00FD6DC9"/>
    <w:rsid w:val="00FE0129"/>
    <w:rsid w:val="00FE129A"/>
    <w:rsid w:val="00FE1479"/>
    <w:rsid w:val="00FE2CB8"/>
    <w:rsid w:val="00FE45BC"/>
    <w:rsid w:val="00FE5E9B"/>
    <w:rsid w:val="00FE61D2"/>
    <w:rsid w:val="00FE7F20"/>
    <w:rsid w:val="00FF0207"/>
    <w:rsid w:val="00FF3F31"/>
    <w:rsid w:val="00FF4109"/>
    <w:rsid w:val="00FF440A"/>
    <w:rsid w:val="00FF4E30"/>
    <w:rsid w:val="00FF6035"/>
    <w:rsid w:val="00FF6EAF"/>
    <w:rsid w:val="00FF70EF"/>
    <w:rsid w:val="016A7465"/>
    <w:rsid w:val="01D00D55"/>
    <w:rsid w:val="021B2B71"/>
    <w:rsid w:val="021D391B"/>
    <w:rsid w:val="02E01747"/>
    <w:rsid w:val="03BB6AFC"/>
    <w:rsid w:val="049D07A1"/>
    <w:rsid w:val="04BD6EDC"/>
    <w:rsid w:val="04DE217F"/>
    <w:rsid w:val="05AA1A62"/>
    <w:rsid w:val="05B821F2"/>
    <w:rsid w:val="06C14DCE"/>
    <w:rsid w:val="073267E9"/>
    <w:rsid w:val="0B386966"/>
    <w:rsid w:val="0B7B140D"/>
    <w:rsid w:val="0CC7345C"/>
    <w:rsid w:val="0DD002B9"/>
    <w:rsid w:val="0F131BCA"/>
    <w:rsid w:val="0F342A4F"/>
    <w:rsid w:val="0F6365C0"/>
    <w:rsid w:val="10F701AD"/>
    <w:rsid w:val="10FE4BED"/>
    <w:rsid w:val="127653AE"/>
    <w:rsid w:val="12B05713"/>
    <w:rsid w:val="13A0020C"/>
    <w:rsid w:val="16E9118B"/>
    <w:rsid w:val="17EA64CC"/>
    <w:rsid w:val="189E1D70"/>
    <w:rsid w:val="18BB3F98"/>
    <w:rsid w:val="18E0295D"/>
    <w:rsid w:val="19C27609"/>
    <w:rsid w:val="1C0A7282"/>
    <w:rsid w:val="1C185D84"/>
    <w:rsid w:val="1C837E33"/>
    <w:rsid w:val="1D5C173A"/>
    <w:rsid w:val="1EBF3D54"/>
    <w:rsid w:val="21E21B23"/>
    <w:rsid w:val="22516F5B"/>
    <w:rsid w:val="227D77A3"/>
    <w:rsid w:val="22A3173A"/>
    <w:rsid w:val="22A36A6C"/>
    <w:rsid w:val="24267EF7"/>
    <w:rsid w:val="24486EBB"/>
    <w:rsid w:val="25016B85"/>
    <w:rsid w:val="25267701"/>
    <w:rsid w:val="2537799C"/>
    <w:rsid w:val="25BA46F2"/>
    <w:rsid w:val="26E5110A"/>
    <w:rsid w:val="274B1605"/>
    <w:rsid w:val="2A1F617A"/>
    <w:rsid w:val="2C2C6487"/>
    <w:rsid w:val="2DA94E77"/>
    <w:rsid w:val="2DAF3AE5"/>
    <w:rsid w:val="2F4231B5"/>
    <w:rsid w:val="2FC00EEC"/>
    <w:rsid w:val="2FD91648"/>
    <w:rsid w:val="304D5D95"/>
    <w:rsid w:val="309E3961"/>
    <w:rsid w:val="30EF26D5"/>
    <w:rsid w:val="318A3F5D"/>
    <w:rsid w:val="32A30753"/>
    <w:rsid w:val="335568C7"/>
    <w:rsid w:val="34276A20"/>
    <w:rsid w:val="34A15065"/>
    <w:rsid w:val="34F858F7"/>
    <w:rsid w:val="3B546305"/>
    <w:rsid w:val="3C283285"/>
    <w:rsid w:val="3CB90E47"/>
    <w:rsid w:val="3CDF336B"/>
    <w:rsid w:val="3D4B3D1F"/>
    <w:rsid w:val="3DD16975"/>
    <w:rsid w:val="3E363920"/>
    <w:rsid w:val="3EAB6941"/>
    <w:rsid w:val="3F6206AF"/>
    <w:rsid w:val="42554B5E"/>
    <w:rsid w:val="427668B2"/>
    <w:rsid w:val="43554FA8"/>
    <w:rsid w:val="43C43131"/>
    <w:rsid w:val="44D25F7E"/>
    <w:rsid w:val="45B5108C"/>
    <w:rsid w:val="46F712AA"/>
    <w:rsid w:val="47A0407F"/>
    <w:rsid w:val="48F008E5"/>
    <w:rsid w:val="49E871FA"/>
    <w:rsid w:val="4A1707F9"/>
    <w:rsid w:val="4ADE75E4"/>
    <w:rsid w:val="4AF22A01"/>
    <w:rsid w:val="4AF6446A"/>
    <w:rsid w:val="4B1A6144"/>
    <w:rsid w:val="4E7735C7"/>
    <w:rsid w:val="4FDA1BC1"/>
    <w:rsid w:val="50505A41"/>
    <w:rsid w:val="514E311F"/>
    <w:rsid w:val="5174109B"/>
    <w:rsid w:val="55A15C62"/>
    <w:rsid w:val="55D47F3D"/>
    <w:rsid w:val="577C3895"/>
    <w:rsid w:val="57A027D0"/>
    <w:rsid w:val="583B5AAD"/>
    <w:rsid w:val="5B2633CD"/>
    <w:rsid w:val="5B6C0F0B"/>
    <w:rsid w:val="5C29156F"/>
    <w:rsid w:val="5C6637C1"/>
    <w:rsid w:val="5D184492"/>
    <w:rsid w:val="5D4441C9"/>
    <w:rsid w:val="5D85087D"/>
    <w:rsid w:val="5EE802E6"/>
    <w:rsid w:val="5F914E0B"/>
    <w:rsid w:val="60621FF0"/>
    <w:rsid w:val="614962A7"/>
    <w:rsid w:val="617F6004"/>
    <w:rsid w:val="61FA5E8D"/>
    <w:rsid w:val="61FB14B7"/>
    <w:rsid w:val="66123644"/>
    <w:rsid w:val="67212166"/>
    <w:rsid w:val="67EE0E11"/>
    <w:rsid w:val="681B135B"/>
    <w:rsid w:val="694E14B2"/>
    <w:rsid w:val="69990F25"/>
    <w:rsid w:val="6A2608F8"/>
    <w:rsid w:val="6AD45CD0"/>
    <w:rsid w:val="6C7C3FD3"/>
    <w:rsid w:val="6CDA5121"/>
    <w:rsid w:val="6D4C655A"/>
    <w:rsid w:val="6D96268E"/>
    <w:rsid w:val="6DB96214"/>
    <w:rsid w:val="6EBB3B41"/>
    <w:rsid w:val="6F247264"/>
    <w:rsid w:val="71296FB4"/>
    <w:rsid w:val="73950641"/>
    <w:rsid w:val="74CF1255"/>
    <w:rsid w:val="75273889"/>
    <w:rsid w:val="78756344"/>
    <w:rsid w:val="78DE02DA"/>
    <w:rsid w:val="7970564B"/>
    <w:rsid w:val="797E23E2"/>
    <w:rsid w:val="7B2E0071"/>
    <w:rsid w:val="7B494B47"/>
    <w:rsid w:val="7B4F485C"/>
    <w:rsid w:val="7B5C7029"/>
    <w:rsid w:val="7B9F499A"/>
    <w:rsid w:val="7CF11A09"/>
    <w:rsid w:val="7DC44167"/>
    <w:rsid w:val="7E0E3466"/>
    <w:rsid w:val="7E327E17"/>
    <w:rsid w:val="7E872EBD"/>
    <w:rsid w:val="7EB55306"/>
    <w:rsid w:val="7F23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29"/>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0"/>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next w:val="1"/>
    <w:link w:val="32"/>
    <w:unhideWhenUsed/>
    <w:qFormat/>
    <w:uiPriority w:val="9"/>
    <w:pPr>
      <w:keepNext/>
      <w:keepLines/>
      <w:spacing w:before="120" w:after="120" w:line="400" w:lineRule="exact"/>
      <w:ind w:firstLine="200" w:firstLineChars="200"/>
      <w:outlineLvl w:val="2"/>
    </w:pPr>
    <w:rPr>
      <w:rFonts w:ascii="Times New Roman" w:hAnsi="Times New Roman" w:eastAsia="仿宋" w:cstheme="minorBidi"/>
      <w:b/>
      <w:bCs/>
      <w:kern w:val="2"/>
      <w:sz w:val="32"/>
      <w:szCs w:val="32"/>
      <w:lang w:val="en-US" w:eastAsia="zh-CN" w:bidi="ar-SA"/>
    </w:rPr>
  </w:style>
  <w:style w:type="paragraph" w:styleId="6">
    <w:name w:val="heading 4"/>
    <w:basedOn w:val="1"/>
    <w:next w:val="1"/>
    <w:link w:val="37"/>
    <w:unhideWhenUsed/>
    <w:qFormat/>
    <w:uiPriority w:val="9"/>
    <w:pPr>
      <w:keepNext/>
      <w:keepLines/>
      <w:spacing w:before="120" w:after="120"/>
      <w:ind w:firstLine="0" w:firstLineChars="0"/>
      <w:outlineLvl w:val="3"/>
    </w:pPr>
    <w:rPr>
      <w:rFonts w:cstheme="majorBidi"/>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3"/>
    <w:qFormat/>
    <w:uiPriority w:val="99"/>
    <w:rPr>
      <w:rFonts w:ascii="宋体" w:hAnsi="Courier New" w:eastAsia="宋体" w:cs="宋体"/>
      <w:sz w:val="21"/>
      <w:szCs w:val="21"/>
    </w:rPr>
  </w:style>
  <w:style w:type="paragraph" w:styleId="7">
    <w:name w:val="annotation text"/>
    <w:basedOn w:val="1"/>
    <w:link w:val="39"/>
    <w:unhideWhenUsed/>
    <w:qFormat/>
    <w:uiPriority w:val="99"/>
    <w:pPr>
      <w:jc w:val="left"/>
    </w:pPr>
  </w:style>
  <w:style w:type="paragraph" w:styleId="8">
    <w:name w:val="Salutation"/>
    <w:basedOn w:val="1"/>
    <w:next w:val="1"/>
    <w:link w:val="43"/>
    <w:qFormat/>
    <w:uiPriority w:val="0"/>
    <w:pPr>
      <w:spacing w:line="540" w:lineRule="exact"/>
    </w:pPr>
    <w:rPr>
      <w:rFonts w:eastAsia="仿宋_GB2312" w:asciiTheme="minorHAnsi" w:hAnsiTheme="minorHAnsi"/>
      <w:spacing w:val="-2"/>
      <w:szCs w:val="20"/>
    </w:rPr>
  </w:style>
  <w:style w:type="paragraph" w:styleId="9">
    <w:name w:val="Body Text"/>
    <w:basedOn w:val="1"/>
    <w:link w:val="41"/>
    <w:qFormat/>
    <w:uiPriority w:val="0"/>
    <w:pPr>
      <w:spacing w:after="120" w:line="240" w:lineRule="auto"/>
      <w:ind w:firstLine="0" w:firstLineChars="0"/>
      <w:jc w:val="center"/>
    </w:pPr>
    <w:rPr>
      <w:rFonts w:cs="Times New Roman"/>
      <w:sz w:val="24"/>
      <w:szCs w:val="21"/>
    </w:rPr>
  </w:style>
  <w:style w:type="paragraph" w:styleId="10">
    <w:name w:val="toc 3"/>
    <w:basedOn w:val="1"/>
    <w:next w:val="1"/>
    <w:unhideWhenUsed/>
    <w:qFormat/>
    <w:uiPriority w:val="39"/>
    <w:pPr>
      <w:ind w:left="840" w:leftChars="400"/>
    </w:pPr>
  </w:style>
  <w:style w:type="paragraph" w:styleId="11">
    <w:name w:val="Date"/>
    <w:basedOn w:val="1"/>
    <w:next w:val="1"/>
    <w:link w:val="45"/>
    <w:semiHidden/>
    <w:unhideWhenUsed/>
    <w:qFormat/>
    <w:uiPriority w:val="99"/>
    <w:pPr>
      <w:ind w:left="100" w:leftChars="2500"/>
    </w:pPr>
  </w:style>
  <w:style w:type="paragraph" w:styleId="12">
    <w:name w:val="Balloon Text"/>
    <w:basedOn w:val="1"/>
    <w:link w:val="46"/>
    <w:unhideWhenUsed/>
    <w:qFormat/>
    <w:uiPriority w:val="0"/>
    <w:pPr>
      <w:spacing w:line="240" w:lineRule="auto"/>
    </w:pPr>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500" w:lineRule="exact"/>
      <w:ind w:firstLine="0" w:firstLineChars="0"/>
      <w:jc w:val="left"/>
    </w:pPr>
    <w:rPr>
      <w:rFonts w:eastAsia="黑体"/>
      <w:bCs/>
    </w:rPr>
  </w:style>
  <w:style w:type="paragraph" w:styleId="16">
    <w:name w:val="toc 2"/>
    <w:basedOn w:val="1"/>
    <w:next w:val="1"/>
    <w:unhideWhenUsed/>
    <w:qFormat/>
    <w:uiPriority w:val="39"/>
    <w:pPr>
      <w:spacing w:line="500" w:lineRule="exact"/>
      <w:jc w:val="left"/>
    </w:pPr>
    <w:rPr>
      <w:rFonts w:eastAsia="楷体"/>
    </w:rPr>
  </w:style>
  <w:style w:type="paragraph" w:styleId="17">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8">
    <w:name w:val="Title"/>
    <w:basedOn w:val="1"/>
    <w:next w:val="1"/>
    <w:link w:val="31"/>
    <w:qFormat/>
    <w:uiPriority w:val="10"/>
    <w:pPr>
      <w:spacing w:before="240" w:after="240"/>
      <w:jc w:val="center"/>
      <w:outlineLvl w:val="0"/>
    </w:pPr>
    <w:rPr>
      <w:rFonts w:eastAsia="楷体" w:asciiTheme="majorHAnsi" w:hAnsiTheme="majorHAnsi" w:cstheme="majorBidi"/>
      <w:b/>
      <w:bCs/>
      <w:szCs w:val="32"/>
    </w:rPr>
  </w:style>
  <w:style w:type="paragraph" w:styleId="19">
    <w:name w:val="annotation subject"/>
    <w:basedOn w:val="7"/>
    <w:next w:val="7"/>
    <w:link w:val="40"/>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800080"/>
      <w:u w:val="single"/>
    </w:rPr>
  </w:style>
  <w:style w:type="character" w:styleId="24">
    <w:name w:val="Emphasis"/>
    <w:basedOn w:val="22"/>
    <w:qFormat/>
    <w:uiPriority w:val="20"/>
    <w:rPr>
      <w:i/>
      <w:iCs/>
    </w:rPr>
  </w:style>
  <w:style w:type="character" w:styleId="25">
    <w:name w:val="Hyperlink"/>
    <w:basedOn w:val="22"/>
    <w:unhideWhenUsed/>
    <w:qFormat/>
    <w:uiPriority w:val="99"/>
    <w:rPr>
      <w:color w:val="0563C1" w:themeColor="hyperlink"/>
      <w:u w:val="single"/>
    </w:rPr>
  </w:style>
  <w:style w:type="character" w:styleId="26">
    <w:name w:val="annotation reference"/>
    <w:basedOn w:val="22"/>
    <w:semiHidden/>
    <w:unhideWhenUsed/>
    <w:qFormat/>
    <w:uiPriority w:val="99"/>
    <w:rPr>
      <w:sz w:val="21"/>
      <w:szCs w:val="21"/>
    </w:rPr>
  </w:style>
  <w:style w:type="character" w:customStyle="1" w:styleId="27">
    <w:name w:val="页眉 字符"/>
    <w:basedOn w:val="22"/>
    <w:link w:val="14"/>
    <w:qFormat/>
    <w:uiPriority w:val="99"/>
    <w:rPr>
      <w:rFonts w:eastAsia="仿宋" w:cstheme="minorBidi"/>
      <w:kern w:val="2"/>
      <w:sz w:val="18"/>
      <w:szCs w:val="18"/>
    </w:rPr>
  </w:style>
  <w:style w:type="character" w:customStyle="1" w:styleId="28">
    <w:name w:val="页脚 字符"/>
    <w:basedOn w:val="22"/>
    <w:link w:val="13"/>
    <w:qFormat/>
    <w:uiPriority w:val="99"/>
    <w:rPr>
      <w:sz w:val="18"/>
      <w:szCs w:val="18"/>
    </w:rPr>
  </w:style>
  <w:style w:type="character" w:customStyle="1" w:styleId="29">
    <w:name w:val="标题 1 字符"/>
    <w:basedOn w:val="22"/>
    <w:link w:val="3"/>
    <w:qFormat/>
    <w:uiPriority w:val="9"/>
    <w:rPr>
      <w:rFonts w:eastAsia="黑体" w:cstheme="minorBidi"/>
      <w:bCs/>
      <w:kern w:val="44"/>
      <w:sz w:val="32"/>
      <w:szCs w:val="44"/>
    </w:rPr>
  </w:style>
  <w:style w:type="character" w:customStyle="1" w:styleId="30">
    <w:name w:val="标题 2 字符"/>
    <w:basedOn w:val="22"/>
    <w:link w:val="4"/>
    <w:qFormat/>
    <w:uiPriority w:val="9"/>
    <w:rPr>
      <w:rFonts w:eastAsia="楷体" w:cstheme="majorBidi"/>
      <w:bCs/>
      <w:kern w:val="2"/>
      <w:sz w:val="32"/>
      <w:szCs w:val="32"/>
    </w:rPr>
  </w:style>
  <w:style w:type="character" w:customStyle="1" w:styleId="31">
    <w:name w:val="标题 字符"/>
    <w:basedOn w:val="22"/>
    <w:link w:val="18"/>
    <w:qFormat/>
    <w:uiPriority w:val="10"/>
    <w:rPr>
      <w:rFonts w:eastAsia="楷体" w:asciiTheme="majorHAnsi" w:hAnsiTheme="majorHAnsi" w:cstheme="majorBidi"/>
      <w:b/>
      <w:bCs/>
      <w:sz w:val="32"/>
      <w:szCs w:val="32"/>
    </w:rPr>
  </w:style>
  <w:style w:type="character" w:customStyle="1" w:styleId="32">
    <w:name w:val="标题 3 字符"/>
    <w:basedOn w:val="22"/>
    <w:link w:val="5"/>
    <w:qFormat/>
    <w:uiPriority w:val="9"/>
    <w:rPr>
      <w:rFonts w:eastAsia="仿宋" w:cstheme="minorBidi"/>
      <w:b/>
      <w:bCs/>
      <w:kern w:val="2"/>
      <w:sz w:val="32"/>
      <w:szCs w:val="32"/>
    </w:rPr>
  </w:style>
  <w:style w:type="character" w:customStyle="1" w:styleId="33">
    <w:name w:val="不明显强调1"/>
    <w:basedOn w:val="22"/>
    <w:qFormat/>
    <w:uiPriority w:val="19"/>
    <w:rPr>
      <w:i/>
      <w:iCs/>
      <w:color w:val="3F3F3F" w:themeColor="text1" w:themeTint="BF"/>
    </w:rPr>
  </w:style>
  <w:style w:type="paragraph" w:customStyle="1" w:styleId="34">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5">
    <w:name w:val="公文主体"/>
    <w:basedOn w:val="1"/>
    <w:link w:val="36"/>
    <w:qFormat/>
    <w:uiPriority w:val="0"/>
    <w:pPr>
      <w:spacing w:line="580" w:lineRule="exact"/>
    </w:pPr>
    <w:rPr>
      <w:rFonts w:eastAsia="仿宋_GB2312" w:cs="Times New Roman"/>
      <w:szCs w:val="24"/>
    </w:rPr>
  </w:style>
  <w:style w:type="character" w:customStyle="1" w:styleId="36">
    <w:name w:val="公文主体 Char"/>
    <w:link w:val="35"/>
    <w:qFormat/>
    <w:uiPriority w:val="0"/>
    <w:rPr>
      <w:rFonts w:ascii="Times New Roman" w:hAnsi="Times New Roman" w:eastAsia="仿宋_GB2312" w:cs="Times New Roman"/>
      <w:sz w:val="32"/>
      <w:szCs w:val="24"/>
    </w:rPr>
  </w:style>
  <w:style w:type="character" w:customStyle="1" w:styleId="37">
    <w:name w:val="标题 4 字符"/>
    <w:basedOn w:val="22"/>
    <w:link w:val="6"/>
    <w:qFormat/>
    <w:uiPriority w:val="9"/>
    <w:rPr>
      <w:rFonts w:ascii="Times New Roman" w:hAnsi="Times New Roman" w:eastAsia="仿宋" w:cstheme="majorBidi"/>
      <w:b/>
      <w:bCs/>
      <w:sz w:val="32"/>
      <w:szCs w:val="28"/>
    </w:rPr>
  </w:style>
  <w:style w:type="paragraph" w:customStyle="1" w:styleId="38">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496" w:themeColor="accent1" w:themeShade="BF"/>
      <w:kern w:val="0"/>
      <w:szCs w:val="32"/>
    </w:rPr>
  </w:style>
  <w:style w:type="character" w:customStyle="1" w:styleId="39">
    <w:name w:val="批注文字 字符"/>
    <w:basedOn w:val="22"/>
    <w:link w:val="7"/>
    <w:qFormat/>
    <w:uiPriority w:val="99"/>
    <w:rPr>
      <w:rFonts w:ascii="Times New Roman" w:hAnsi="Times New Roman" w:eastAsia="仿宋"/>
      <w:sz w:val="32"/>
    </w:rPr>
  </w:style>
  <w:style w:type="character" w:customStyle="1" w:styleId="40">
    <w:name w:val="批注主题 字符"/>
    <w:basedOn w:val="39"/>
    <w:link w:val="19"/>
    <w:semiHidden/>
    <w:qFormat/>
    <w:uiPriority w:val="99"/>
    <w:rPr>
      <w:rFonts w:ascii="Times New Roman" w:hAnsi="Times New Roman" w:eastAsia="仿宋"/>
      <w:b/>
      <w:bCs/>
      <w:sz w:val="32"/>
    </w:rPr>
  </w:style>
  <w:style w:type="character" w:customStyle="1" w:styleId="41">
    <w:name w:val="正文文本 字符"/>
    <w:basedOn w:val="22"/>
    <w:link w:val="9"/>
    <w:qFormat/>
    <w:uiPriority w:val="0"/>
    <w:rPr>
      <w:rFonts w:eastAsia="仿宋"/>
      <w:kern w:val="2"/>
      <w:sz w:val="24"/>
      <w:szCs w:val="21"/>
    </w:rPr>
  </w:style>
  <w:style w:type="paragraph" w:customStyle="1" w:styleId="42">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3">
    <w:name w:val="称呼 字符"/>
    <w:basedOn w:val="22"/>
    <w:link w:val="8"/>
    <w:qFormat/>
    <w:uiPriority w:val="0"/>
    <w:rPr>
      <w:rFonts w:eastAsia="仿宋_GB2312"/>
      <w:spacing w:val="-2"/>
      <w:sz w:val="32"/>
      <w:szCs w:val="20"/>
    </w:rPr>
  </w:style>
  <w:style w:type="table" w:customStyle="1" w:styleId="44">
    <w:name w:val="网格型1"/>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日期 字符"/>
    <w:basedOn w:val="22"/>
    <w:link w:val="11"/>
    <w:semiHidden/>
    <w:qFormat/>
    <w:uiPriority w:val="99"/>
    <w:rPr>
      <w:rFonts w:ascii="Times New Roman" w:hAnsi="Times New Roman" w:eastAsia="仿宋"/>
      <w:sz w:val="32"/>
    </w:rPr>
  </w:style>
  <w:style w:type="character" w:customStyle="1" w:styleId="46">
    <w:name w:val="批注框文本 字符"/>
    <w:basedOn w:val="22"/>
    <w:link w:val="12"/>
    <w:qFormat/>
    <w:uiPriority w:val="0"/>
    <w:rPr>
      <w:rFonts w:ascii="Times New Roman" w:hAnsi="Times New Roman" w:eastAsia="仿宋"/>
      <w:sz w:val="18"/>
      <w:szCs w:val="18"/>
    </w:rPr>
  </w:style>
  <w:style w:type="paragraph" w:styleId="47">
    <w:name w:val="List Paragraph"/>
    <w:basedOn w:val="1"/>
    <w:qFormat/>
    <w:uiPriority w:val="34"/>
    <w:pPr>
      <w:ind w:firstLine="420"/>
    </w:pPr>
  </w:style>
  <w:style w:type="paragraph" w:customStyle="1" w:styleId="48">
    <w:name w:val="带缩进正文"/>
    <w:basedOn w:val="1"/>
    <w:qFormat/>
    <w:uiPriority w:val="0"/>
    <w:pPr>
      <w:spacing w:line="560" w:lineRule="exact"/>
      <w:ind w:firstLine="640"/>
    </w:pPr>
    <w:rPr>
      <w:rFonts w:ascii="仿宋" w:cs="Times New Roman"/>
      <w:szCs w:val="28"/>
    </w:rPr>
  </w:style>
  <w:style w:type="table" w:customStyle="1" w:styleId="49">
    <w:name w:val="网格型11"/>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1">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6">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8">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9">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2">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3">
    <w:name w:val="纯文本 字符"/>
    <w:basedOn w:val="22"/>
    <w:link w:val="2"/>
    <w:qFormat/>
    <w:uiPriority w:val="99"/>
    <w:rPr>
      <w:rFonts w:ascii="宋体" w:hAnsi="Courier New" w:cs="宋体"/>
      <w:kern w:val="2"/>
      <w:sz w:val="21"/>
      <w:szCs w:val="21"/>
    </w:rPr>
  </w:style>
  <w:style w:type="character" w:customStyle="1" w:styleId="64">
    <w:name w:val="font51"/>
    <w:basedOn w:val="22"/>
    <w:qFormat/>
    <w:uiPriority w:val="0"/>
    <w:rPr>
      <w:rFonts w:hint="eastAsia" w:ascii="方正仿宋简体" w:hAnsi="方正仿宋简体" w:eastAsia="方正仿宋简体" w:cs="方正仿宋简体"/>
      <w:color w:val="000000"/>
      <w:sz w:val="22"/>
      <w:szCs w:val="22"/>
      <w:u w:val="none"/>
    </w:rPr>
  </w:style>
  <w:style w:type="paragraph" w:customStyle="1" w:styleId="65">
    <w:name w:val="修订1"/>
    <w:hidden/>
    <w:semiHidden/>
    <w:qFormat/>
    <w:uiPriority w:val="99"/>
    <w:rPr>
      <w:rFonts w:ascii="Times New Roman" w:hAnsi="Times New Roman" w:eastAsia="仿宋" w:cstheme="minorBidi"/>
      <w:kern w:val="2"/>
      <w:sz w:val="32"/>
      <w:szCs w:val="22"/>
      <w:lang w:val="en-US" w:eastAsia="zh-CN" w:bidi="ar-SA"/>
    </w:rPr>
  </w:style>
  <w:style w:type="paragraph" w:customStyle="1" w:styleId="66">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67">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69">
    <w:name w:val="xl64"/>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2">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3">
    <w:name w:val="xl68"/>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74">
    <w:name w:val="xl69"/>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40"/>
      <w:szCs w:val="40"/>
    </w:rPr>
  </w:style>
  <w:style w:type="paragraph" w:customStyle="1" w:styleId="75">
    <w:name w:val="font6"/>
    <w:basedOn w:val="1"/>
    <w:qFormat/>
    <w:uiPriority w:val="0"/>
    <w:pPr>
      <w:widowControl/>
      <w:spacing w:before="100" w:beforeAutospacing="1" w:after="100" w:afterAutospacing="1" w:line="240" w:lineRule="auto"/>
      <w:ind w:firstLine="0" w:firstLineChars="0"/>
      <w:jc w:val="left"/>
    </w:pPr>
    <w:rPr>
      <w:rFonts w:ascii="仿宋" w:hAnsi="仿宋" w:cs="宋体"/>
      <w:color w:val="000000"/>
      <w:kern w:val="0"/>
      <w:sz w:val="18"/>
      <w:szCs w:val="18"/>
    </w:rPr>
  </w:style>
  <w:style w:type="paragraph" w:customStyle="1" w:styleId="76">
    <w:name w:val="font7"/>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18"/>
      <w:szCs w:val="18"/>
    </w:rPr>
  </w:style>
  <w:style w:type="paragraph" w:customStyle="1" w:styleId="7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78">
    <w:name w:val="xl82"/>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7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0">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2">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3">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4">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5">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6">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7">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8">
    <w:name w:val="xl9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9">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9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91">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92">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character" w:customStyle="1" w:styleId="93">
    <w:name w:val="c-color-gray2"/>
    <w:basedOn w:val="22"/>
    <w:qFormat/>
    <w:uiPriority w:val="0"/>
  </w:style>
  <w:style w:type="character" w:customStyle="1" w:styleId="94">
    <w:name w:val="content-right_8zs40"/>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A513F-42FD-4354-BD8B-0914640DA227}">
  <ds:schemaRefs/>
</ds:datastoreItem>
</file>

<file path=docProps/app.xml><?xml version="1.0" encoding="utf-8"?>
<Properties xmlns="http://schemas.openxmlformats.org/officeDocument/2006/extended-properties" xmlns:vt="http://schemas.openxmlformats.org/officeDocument/2006/docPropsVTypes">
  <Template>Normal.dotm</Template>
  <Pages>54</Pages>
  <Words>4570</Words>
  <Characters>26052</Characters>
  <Lines>217</Lines>
  <Paragraphs>61</Paragraphs>
  <TotalTime>0</TotalTime>
  <ScaleCrop>false</ScaleCrop>
  <LinksUpToDate>false</LinksUpToDate>
  <CharactersWithSpaces>30561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2022-05-26T06:38:00Z</dcterms:created>
  <dc:creator>h lp</dc:creator>
  <cp:lastModifiedBy>ayxy</cp:lastModifiedBy>
  <cp:lastPrinted>2022-12-28T14:50:00Z</cp:lastPrinted>
  <dcterms:modified xsi:type="dcterms:W3CDTF">2023-04-18T01:50:04Z</dcterms:modified>
  <cp:revision>259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4FBD8EC3F4844D5FA1B7E2CA418F50B0</vt:lpwstr>
  </property>
</Properties>
</file>