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安岳县人民政府</w:t>
      </w:r>
    </w:p>
    <w:p>
      <w:pPr>
        <w:snapToGrid w:val="0"/>
        <w:spacing w:line="6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关于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kern w:val="0"/>
          <w:sz w:val="44"/>
          <w:szCs w:val="44"/>
        </w:rPr>
        <w:t>年县级财政预算调整方案的报告</w:t>
      </w:r>
    </w:p>
    <w:p>
      <w:pPr>
        <w:spacing w:line="580" w:lineRule="exact"/>
        <w:jc w:val="center"/>
        <w:rPr>
          <w:rFonts w:ascii="Times New Roman" w:hAnsi="Times New Roman" w:eastAsia="方正楷体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楷体简体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楷体简体"/>
          <w:b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楷体简体"/>
          <w:b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楷体简体"/>
          <w:b/>
          <w:color w:val="00000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楷体简体"/>
          <w:b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楷体简体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楷体简体"/>
          <w:b/>
          <w:color w:val="000000"/>
          <w:sz w:val="32"/>
          <w:szCs w:val="32"/>
        </w:rPr>
        <w:t>日在安岳县第</w:t>
      </w:r>
      <w:r>
        <w:rPr>
          <w:rFonts w:hint="eastAsia" w:ascii="Times New Roman" w:hAnsi="Times New Roman" w:eastAsia="方正楷体简体"/>
          <w:b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楷体简体"/>
          <w:b/>
          <w:color w:val="000000"/>
          <w:sz w:val="32"/>
          <w:szCs w:val="32"/>
        </w:rPr>
        <w:t>届人民代表大会</w:t>
      </w:r>
    </w:p>
    <w:p>
      <w:pPr>
        <w:spacing w:line="580" w:lineRule="exact"/>
        <w:jc w:val="center"/>
        <w:rPr>
          <w:rFonts w:ascii="Times New Roman" w:hAnsi="Times New Roman" w:eastAsia="方正楷体简体"/>
          <w:b/>
          <w:color w:val="000000"/>
          <w:sz w:val="32"/>
          <w:szCs w:val="32"/>
        </w:rPr>
      </w:pPr>
      <w:r>
        <w:rPr>
          <w:rFonts w:ascii="Times New Roman" w:hAnsi="Times New Roman" w:eastAsia="方正楷体简体"/>
          <w:b/>
          <w:color w:val="000000"/>
          <w:sz w:val="32"/>
          <w:szCs w:val="32"/>
        </w:rPr>
        <w:t>常务委员会第</w:t>
      </w:r>
      <w:r>
        <w:rPr>
          <w:rFonts w:hint="eastAsia" w:ascii="Times New Roman" w:hAnsi="Times New Roman" w:eastAsia="方正楷体简体"/>
          <w:b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方正楷体简体"/>
          <w:b/>
          <w:color w:val="000000"/>
          <w:sz w:val="32"/>
          <w:szCs w:val="32"/>
        </w:rPr>
        <w:t>次会议上</w:t>
      </w:r>
    </w:p>
    <w:p>
      <w:pPr>
        <w:spacing w:line="580" w:lineRule="exact"/>
        <w:jc w:val="center"/>
        <w:rPr>
          <w:rFonts w:ascii="Times New Roman" w:hAnsi="Times New Roman" w:eastAsia="方正楷体简体"/>
          <w:b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楷体简体"/>
          <w:b/>
          <w:sz w:val="32"/>
          <w:szCs w:val="32"/>
        </w:rPr>
      </w:pPr>
      <w:r>
        <w:rPr>
          <w:rFonts w:ascii="Times New Roman" w:hAnsi="Times New Roman" w:eastAsia="方正楷体简体"/>
          <w:b/>
          <w:sz w:val="32"/>
          <w:szCs w:val="32"/>
        </w:rPr>
        <w:t xml:space="preserve">安岳县财政局局长  </w:t>
      </w:r>
      <w:r>
        <w:rPr>
          <w:rFonts w:hint="eastAsia" w:ascii="Times New Roman" w:hAnsi="Times New Roman" w:eastAsia="方正楷体简体"/>
          <w:b/>
          <w:sz w:val="32"/>
          <w:szCs w:val="32"/>
        </w:rPr>
        <w:t>谭暑泽</w:t>
      </w:r>
    </w:p>
    <w:p>
      <w:pPr>
        <w:spacing w:line="580" w:lineRule="exact"/>
        <w:jc w:val="center"/>
        <w:rPr>
          <w:rFonts w:ascii="Times New Roman" w:hAnsi="Times New Roman" w:eastAsia="方正楷体简体"/>
          <w:b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县人大常委会：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按照有关法律规定和县人大常委会安排，</w:t>
      </w:r>
      <w:r>
        <w:rPr>
          <w:rFonts w:ascii="Times New Roman" w:hAnsi="Times New Roman" w:eastAsia="方正仿宋简体"/>
          <w:sz w:val="32"/>
        </w:rPr>
        <w:t>受县人民政府委托，现将</w:t>
      </w:r>
      <w:r>
        <w:rPr>
          <w:rFonts w:hint="eastAsia" w:ascii="Times New Roman" w:hAnsi="Times New Roman" w:eastAsia="方正仿宋简体"/>
          <w:sz w:val="32"/>
        </w:rPr>
        <w:t>202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3</w:t>
      </w:r>
      <w:r>
        <w:rPr>
          <w:rFonts w:ascii="Times New Roman" w:hAnsi="Times New Roman" w:eastAsia="方正仿宋简体"/>
          <w:sz w:val="32"/>
        </w:rPr>
        <w:t>年县级财政预算调整方案报告如下</w:t>
      </w:r>
      <w:r>
        <w:rPr>
          <w:rFonts w:ascii="Times New Roman" w:hAnsi="Times New Roman" w:eastAsia="方正仿宋简体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方正黑体简体"/>
          <w:sz w:val="32"/>
        </w:rPr>
      </w:pPr>
      <w:r>
        <w:rPr>
          <w:rFonts w:hint="eastAsia" w:ascii="Times New Roman" w:hAnsi="Times New Roman" w:eastAsia="方正黑体简体"/>
          <w:sz w:val="32"/>
        </w:rPr>
        <w:t>一、202</w:t>
      </w:r>
      <w:r>
        <w:rPr>
          <w:rFonts w:hint="eastAsia" w:ascii="Times New Roman" w:hAnsi="Times New Roman" w:eastAsia="方正黑体简体"/>
          <w:sz w:val="32"/>
          <w:lang w:val="en-US" w:eastAsia="zh-CN"/>
        </w:rPr>
        <w:t>3</w:t>
      </w:r>
      <w:r>
        <w:rPr>
          <w:rFonts w:hint="eastAsia" w:ascii="Times New Roman" w:hAnsi="Times New Roman" w:eastAsia="方正黑体简体"/>
          <w:sz w:val="32"/>
        </w:rPr>
        <w:t>年</w:t>
      </w:r>
      <w:r>
        <w:rPr>
          <w:rFonts w:hint="eastAsia" w:ascii="Times New Roman" w:hAnsi="Times New Roman" w:eastAsia="方正黑体简体"/>
          <w:sz w:val="32"/>
          <w:lang w:eastAsia="zh-CN"/>
        </w:rPr>
        <w:t>新增</w:t>
      </w:r>
      <w:r>
        <w:rPr>
          <w:rFonts w:hint="eastAsia" w:ascii="Times New Roman" w:hAnsi="Times New Roman" w:eastAsia="方正黑体简体"/>
          <w:sz w:val="32"/>
        </w:rPr>
        <w:t>地方政府债务情况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方正仿宋简体"/>
          <w:sz w:val="32"/>
          <w:highlight w:val="none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省政府转贷我县新增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债券资金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12100万元，其中：新增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一般</w:t>
      </w:r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债券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资金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2100</w:t>
      </w:r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eastAsia="方正仿宋简体"/>
          <w:sz w:val="32"/>
          <w:highlight w:val="none"/>
        </w:rPr>
        <w:t>对应调增一般公共预算支出</w:t>
      </w:r>
      <w:r>
        <w:rPr>
          <w:rFonts w:hint="eastAsia" w:ascii="Times New Roman" w:hAnsi="Times New Roman" w:eastAsia="方正仿宋简体"/>
          <w:sz w:val="32"/>
          <w:highlight w:val="none"/>
          <w:lang w:val="en-US" w:eastAsia="zh-CN"/>
        </w:rPr>
        <w:t>2100</w:t>
      </w:r>
      <w:r>
        <w:rPr>
          <w:rFonts w:hint="eastAsia" w:ascii="Times New Roman" w:hAnsi="Times New Roman" w:eastAsia="方正仿宋简体"/>
          <w:sz w:val="32"/>
          <w:highlight w:val="none"/>
        </w:rPr>
        <w:t>万元</w:t>
      </w:r>
      <w:r>
        <w:rPr>
          <w:rFonts w:hint="eastAsia" w:ascii="Times New Roman" w:hAnsi="Times New Roman" w:eastAsia="方正仿宋简体"/>
          <w:sz w:val="32"/>
          <w:highlight w:val="none"/>
          <w:lang w:eastAsia="zh-CN"/>
        </w:rPr>
        <w:t>；</w:t>
      </w:r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新增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专项</w:t>
      </w:r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债券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资金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10000</w:t>
      </w:r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eastAsia="方正仿宋简体"/>
          <w:sz w:val="32"/>
          <w:highlight w:val="none"/>
        </w:rPr>
        <w:t>对应调增</w:t>
      </w:r>
      <w:r>
        <w:rPr>
          <w:rFonts w:hint="eastAsia" w:ascii="Times New Roman" w:hAnsi="Times New Roman" w:eastAsia="方正仿宋简体"/>
          <w:sz w:val="32"/>
          <w:highlight w:val="none"/>
          <w:lang w:eastAsia="zh-CN"/>
        </w:rPr>
        <w:t>政府性基金预算</w:t>
      </w:r>
      <w:r>
        <w:rPr>
          <w:rFonts w:hint="eastAsia" w:ascii="Times New Roman" w:hAnsi="Times New Roman" w:eastAsia="方正仿宋简体"/>
          <w:sz w:val="32"/>
          <w:highlight w:val="none"/>
        </w:rPr>
        <w:t>支出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10000</w:t>
      </w:r>
      <w:r>
        <w:rPr>
          <w:rFonts w:hint="eastAsia" w:ascii="Times New Roman" w:hAnsi="Times New Roman" w:eastAsia="方正仿宋简体"/>
          <w:sz w:val="32"/>
          <w:highlight w:val="none"/>
        </w:rPr>
        <w:t>万元。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方正黑体简体"/>
          <w:sz w:val="32"/>
        </w:rPr>
      </w:pPr>
      <w:r>
        <w:rPr>
          <w:rFonts w:hint="eastAsia" w:ascii="Times New Roman" w:hAnsi="Times New Roman" w:eastAsia="方正黑体简体"/>
          <w:sz w:val="32"/>
        </w:rPr>
        <w:t>二、202</w:t>
      </w:r>
      <w:r>
        <w:rPr>
          <w:rFonts w:hint="eastAsia" w:ascii="Times New Roman" w:hAnsi="Times New Roman" w:eastAsia="方正黑体简体"/>
          <w:sz w:val="32"/>
          <w:lang w:val="en-US" w:eastAsia="zh-CN"/>
        </w:rPr>
        <w:t>3</w:t>
      </w:r>
      <w:r>
        <w:rPr>
          <w:rFonts w:hint="eastAsia" w:ascii="Times New Roman" w:hAnsi="Times New Roman" w:eastAsia="方正黑体简体"/>
          <w:sz w:val="32"/>
        </w:rPr>
        <w:t>年县级预算调整方案</w:t>
      </w:r>
    </w:p>
    <w:p>
      <w:pPr>
        <w:snapToGrid w:val="0"/>
        <w:spacing w:line="580" w:lineRule="exact"/>
        <w:ind w:firstLine="642" w:firstLineChars="200"/>
        <w:rPr>
          <w:rFonts w:ascii="方正楷体简体" w:hAnsi="方正楷体简体" w:eastAsia="方正楷体简体" w:cs="方正楷体简体"/>
          <w:b/>
          <w:bCs/>
          <w:sz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</w:rPr>
        <w:t>（一）一般公共预算调整</w:t>
      </w:r>
    </w:p>
    <w:p>
      <w:pPr>
        <w:snapToGrid w:val="0"/>
        <w:spacing w:line="580" w:lineRule="exact"/>
        <w:ind w:firstLine="642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2023年1月9日安岳县第十七届人民代表大会第三次会议第三次全体会议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批准的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年县级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一般公共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预算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为：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县级一般公共预算收入预算为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133900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万元，加上级补助收入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269344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万元、调入资金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88592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万元和一般债券转贷收入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85651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万元，减上解支出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44263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万元、一般债券还本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85651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万元和补助乡镇支出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69254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万元后，可安排财力为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378319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万元。按照收支平衡原则，安排县级一般公共预算支出预算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378319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万元。</w:t>
      </w:r>
    </w:p>
    <w:p>
      <w:pPr>
        <w:snapToGrid w:val="0"/>
        <w:spacing w:line="580" w:lineRule="exact"/>
        <w:ind w:firstLine="642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本次拟调整为：</w:t>
      </w:r>
      <w:r>
        <w:rPr>
          <w:rFonts w:hint="eastAsia" w:ascii="Times New Roman" w:hAnsi="Times New Roman" w:eastAsia="方正仿宋简体"/>
          <w:sz w:val="32"/>
          <w:szCs w:val="32"/>
        </w:rPr>
        <w:t>县级</w:t>
      </w:r>
      <w:r>
        <w:rPr>
          <w:rFonts w:ascii="Times New Roman" w:hAnsi="Times New Roman" w:eastAsia="方正仿宋简体"/>
          <w:sz w:val="32"/>
        </w:rPr>
        <w:t>一般公共预算收入</w:t>
      </w:r>
      <w:r>
        <w:rPr>
          <w:rFonts w:hint="eastAsia" w:ascii="Times New Roman" w:hAnsi="Times New Roman" w:eastAsia="方正仿宋简体"/>
          <w:sz w:val="32"/>
        </w:rPr>
        <w:t>为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149700</w:t>
      </w:r>
      <w:r>
        <w:rPr>
          <w:rFonts w:ascii="Times New Roman" w:hAnsi="Times New Roman" w:eastAsia="方正仿宋简体"/>
          <w:sz w:val="32"/>
        </w:rPr>
        <w:t>万元，</w:t>
      </w:r>
      <w:r>
        <w:rPr>
          <w:rFonts w:hint="eastAsia" w:ascii="Times New Roman" w:hAnsi="Times New Roman" w:eastAsia="方正仿宋简体"/>
          <w:sz w:val="32"/>
        </w:rPr>
        <w:t>加</w:t>
      </w:r>
      <w:r>
        <w:rPr>
          <w:rFonts w:ascii="Times New Roman" w:hAnsi="Times New Roman" w:eastAsia="方正仿宋简体"/>
          <w:sz w:val="32"/>
        </w:rPr>
        <w:t>上级补助收入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486124</w:t>
      </w:r>
      <w:r>
        <w:rPr>
          <w:rFonts w:ascii="Times New Roman" w:hAnsi="Times New Roman" w:eastAsia="方正仿宋简体"/>
          <w:sz w:val="32"/>
        </w:rPr>
        <w:t>万元</w:t>
      </w:r>
      <w:r>
        <w:rPr>
          <w:rFonts w:hint="eastAsia" w:ascii="Times New Roman" w:hAnsi="Times New Roman" w:eastAsia="方正仿宋简体"/>
          <w:sz w:val="32"/>
          <w:lang w:eastAsia="zh-CN"/>
        </w:rPr>
        <w:t>、调入资金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40000万元、上年结转27805万元</w:t>
      </w:r>
      <w:r>
        <w:rPr>
          <w:rFonts w:hint="eastAsia" w:ascii="Times New Roman" w:hAnsi="Times New Roman" w:eastAsia="方正仿宋简体"/>
          <w:sz w:val="32"/>
          <w:szCs w:val="32"/>
        </w:rPr>
        <w:t>和一般债券转贷收入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96651</w:t>
      </w:r>
      <w:r>
        <w:rPr>
          <w:rFonts w:hint="eastAsia" w:ascii="Times New Roman" w:hAnsi="Times New Roman" w:eastAsia="方正仿宋简体"/>
          <w:sz w:val="32"/>
          <w:szCs w:val="32"/>
        </w:rPr>
        <w:t>万元，减</w:t>
      </w:r>
      <w:r>
        <w:rPr>
          <w:rFonts w:ascii="Times New Roman" w:hAnsi="Times New Roman" w:eastAsia="方正仿宋简体"/>
          <w:sz w:val="32"/>
          <w:szCs w:val="32"/>
        </w:rPr>
        <w:t>上解支出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44263</w:t>
      </w:r>
      <w:r>
        <w:rPr>
          <w:rFonts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</w:rPr>
        <w:t>、</w:t>
      </w:r>
      <w:r>
        <w:rPr>
          <w:rFonts w:ascii="Times New Roman" w:hAnsi="Times New Roman" w:eastAsia="方正仿宋简体"/>
          <w:sz w:val="32"/>
          <w:szCs w:val="32"/>
        </w:rPr>
        <w:t>一般债</w:t>
      </w:r>
      <w:r>
        <w:rPr>
          <w:rFonts w:hint="eastAsia" w:ascii="Times New Roman" w:hAnsi="Times New Roman" w:eastAsia="方正仿宋简体"/>
          <w:sz w:val="32"/>
          <w:szCs w:val="32"/>
        </w:rPr>
        <w:t>券</w:t>
      </w:r>
      <w:r>
        <w:rPr>
          <w:rFonts w:ascii="Times New Roman" w:hAnsi="Times New Roman" w:eastAsia="方正仿宋简体"/>
          <w:sz w:val="32"/>
          <w:szCs w:val="32"/>
        </w:rPr>
        <w:t>还本支出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94551</w:t>
      </w:r>
      <w:r>
        <w:rPr>
          <w:rFonts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</w:rPr>
        <w:t>和</w:t>
      </w:r>
      <w:r>
        <w:rPr>
          <w:rFonts w:ascii="Times New Roman" w:hAnsi="Times New Roman" w:eastAsia="方正仿宋简体"/>
          <w:sz w:val="32"/>
          <w:szCs w:val="32"/>
        </w:rPr>
        <w:t>补助乡镇支出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77170</w:t>
      </w:r>
      <w:r>
        <w:rPr>
          <w:rFonts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</w:rPr>
        <w:t>后，</w:t>
      </w:r>
      <w:r>
        <w:rPr>
          <w:rFonts w:ascii="Times New Roman" w:hAnsi="Times New Roman" w:eastAsia="方正仿宋简体"/>
          <w:sz w:val="32"/>
          <w:szCs w:val="32"/>
        </w:rPr>
        <w:t>可安排财力为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584296</w:t>
      </w:r>
      <w:r>
        <w:rPr>
          <w:rFonts w:ascii="Times New Roman" w:hAnsi="Times New Roman" w:eastAsia="方正仿宋简体"/>
          <w:sz w:val="32"/>
          <w:szCs w:val="32"/>
        </w:rPr>
        <w:t>万元。按照收支平衡原则，安排县级一般公共预算支出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584296</w:t>
      </w:r>
      <w:r>
        <w:rPr>
          <w:rFonts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napToGrid w:val="0"/>
        <w:spacing w:line="580" w:lineRule="exact"/>
        <w:ind w:firstLine="642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主要调整事项如下：</w:t>
      </w:r>
    </w:p>
    <w:p>
      <w:pPr>
        <w:snapToGrid w:val="0"/>
        <w:spacing w:line="580" w:lineRule="exact"/>
        <w:ind w:firstLine="642" w:firstLineChars="200"/>
        <w:rPr>
          <w:rFonts w:hint="default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县级一般公共预算收入调增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15800万元。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结合当前一般公共预算收入完成及全年预期情况，县级一般公共预算收入预算拟调整为149700万元，调增15800万元，其中税收收入调增2000万元，非税收入调增13800万元。</w:t>
      </w:r>
    </w:p>
    <w:p>
      <w:pPr>
        <w:snapToGrid w:val="0"/>
        <w:spacing w:line="580" w:lineRule="exact"/>
        <w:ind w:firstLine="642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上级补助收入调增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216780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/>
          <w:sz w:val="32"/>
          <w:szCs w:val="32"/>
        </w:rPr>
        <w:t>其中：一般性转移支付收入增加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191364</w:t>
      </w:r>
      <w:r>
        <w:rPr>
          <w:rFonts w:hint="eastAsia" w:ascii="Times New Roman" w:hAnsi="Times New Roman" w:eastAsia="方正仿宋简体"/>
          <w:sz w:val="32"/>
          <w:szCs w:val="32"/>
        </w:rPr>
        <w:t>万元、专项转移支付收入增加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25416</w:t>
      </w:r>
      <w:r>
        <w:rPr>
          <w:rFonts w:hint="eastAsia" w:ascii="Times New Roman" w:hAnsi="Times New Roman" w:eastAsia="方正仿宋简体"/>
          <w:sz w:val="32"/>
          <w:szCs w:val="32"/>
        </w:rPr>
        <w:t>万元。</w:t>
      </w:r>
    </w:p>
    <w:p>
      <w:pPr>
        <w:snapToGrid w:val="0"/>
        <w:spacing w:line="580" w:lineRule="exact"/>
        <w:ind w:firstLine="642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一般债券转贷收入调增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11000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/>
          <w:sz w:val="32"/>
          <w:szCs w:val="32"/>
        </w:rPr>
        <w:t>为202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/>
          <w:sz w:val="32"/>
          <w:szCs w:val="32"/>
        </w:rPr>
        <w:t>年新增一般债券资金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2100</w:t>
      </w:r>
      <w:r>
        <w:rPr>
          <w:rFonts w:hint="eastAsia"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、隐债化债试点转贷收入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8900万元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napToGrid w:val="0"/>
        <w:spacing w:line="580" w:lineRule="exact"/>
        <w:ind w:firstLine="642" w:firstLineChars="200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调入资金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调减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48592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根据2023年土地出让收入完成情况，政府性基金预算无财力调入一般公共预算，一般公共预算调减调入资金48592万元。</w:t>
      </w:r>
    </w:p>
    <w:p>
      <w:pPr>
        <w:snapToGrid w:val="0"/>
        <w:spacing w:line="580" w:lineRule="exact"/>
        <w:ind w:firstLine="642" w:firstLineChars="200"/>
        <w:rPr>
          <w:rFonts w:hint="default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补助乡镇支出调增7916万元。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根据乡镇实际支出情况，调增乡镇支出7916万元。</w:t>
      </w:r>
    </w:p>
    <w:p>
      <w:pPr>
        <w:snapToGrid w:val="0"/>
        <w:spacing w:line="580" w:lineRule="exact"/>
        <w:ind w:firstLine="642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一般公共预算支出调增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205977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其中：一般性转移支付中的专项补助对应安排增加支出198736万元，新增专项转移支付增加支出25416万元，新增一般债券资金增加支出2100万元，新增财力安排支出8428万元（收入调增对应安排支出15800万元，新增财力性转移支付-7372万元），上年结转支出27805万元，减去新增补助下级支出7916万元（乡镇支出）、调入支出减少48592万元，一般公共预算支出调整为584296万元。</w:t>
      </w:r>
    </w:p>
    <w:p>
      <w:pPr>
        <w:snapToGrid w:val="0"/>
        <w:spacing w:line="580" w:lineRule="exact"/>
        <w:ind w:firstLine="642" w:firstLineChars="200"/>
        <w:rPr>
          <w:rFonts w:ascii="方正楷体简体" w:hAnsi="方正楷体简体" w:eastAsia="方正楷体简体" w:cs="方正楷体简体"/>
          <w:b/>
          <w:bCs/>
          <w:sz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</w:rPr>
        <w:t>（二）政府性基金预算调整</w:t>
      </w:r>
    </w:p>
    <w:p>
      <w:pPr>
        <w:snapToGrid w:val="0"/>
        <w:spacing w:line="580" w:lineRule="exact"/>
        <w:ind w:firstLine="642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2023年1月9日安岳县第十七届人民代表大会第三次会议第三次全体会议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批准的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政府性基金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预算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为：</w:t>
      </w:r>
      <w:r>
        <w:rPr>
          <w:rFonts w:ascii="Times New Roman" w:hAnsi="Times New Roman" w:eastAsia="方正仿宋简体"/>
          <w:sz w:val="32"/>
          <w:szCs w:val="32"/>
        </w:rPr>
        <w:t>县级政府性基金收入预算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283000</w:t>
      </w:r>
      <w:r>
        <w:rPr>
          <w:rFonts w:ascii="Times New Roman" w:hAnsi="Times New Roman" w:eastAsia="方正仿宋简体"/>
          <w:sz w:val="32"/>
          <w:szCs w:val="32"/>
        </w:rPr>
        <w:t>万元，减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去</w:t>
      </w:r>
      <w:r>
        <w:rPr>
          <w:rFonts w:ascii="Times New Roman" w:hAnsi="Times New Roman" w:eastAsia="方正仿宋简体"/>
          <w:sz w:val="32"/>
          <w:szCs w:val="32"/>
        </w:rPr>
        <w:t>调出资金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88592</w:t>
      </w:r>
      <w:r>
        <w:rPr>
          <w:rFonts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、上解支出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1960万元和专项债券还本支出2900万元</w:t>
      </w:r>
      <w:r>
        <w:rPr>
          <w:rFonts w:ascii="Times New Roman" w:hAnsi="Times New Roman" w:eastAsia="方正仿宋简体"/>
          <w:sz w:val="32"/>
          <w:szCs w:val="32"/>
        </w:rPr>
        <w:t>后，可安排财力为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189548</w:t>
      </w:r>
      <w:r>
        <w:rPr>
          <w:rFonts w:ascii="Times New Roman" w:hAnsi="Times New Roman" w:eastAsia="方正仿宋简体"/>
          <w:sz w:val="32"/>
          <w:szCs w:val="32"/>
        </w:rPr>
        <w:t>万元。按照以收定支和收支平衡原则，安排县级政府性基金支出预算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189548</w:t>
      </w:r>
      <w:r>
        <w:rPr>
          <w:rFonts w:ascii="Times New Roman" w:hAnsi="Times New Roman" w:eastAsia="方正仿宋简体"/>
          <w:sz w:val="32"/>
          <w:szCs w:val="32"/>
        </w:rPr>
        <w:t>万元。</w:t>
      </w:r>
    </w:p>
    <w:p>
      <w:pPr>
        <w:snapToGrid w:val="0"/>
        <w:spacing w:line="580" w:lineRule="exact"/>
        <w:ind w:firstLine="642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本次拟调整为：</w:t>
      </w:r>
      <w:r>
        <w:rPr>
          <w:rFonts w:hint="eastAsia" w:ascii="Times New Roman" w:hAnsi="Times New Roman" w:eastAsia="方正仿宋简体"/>
          <w:sz w:val="32"/>
          <w:szCs w:val="32"/>
        </w:rPr>
        <w:t>县</w:t>
      </w:r>
      <w:r>
        <w:rPr>
          <w:rFonts w:ascii="Times New Roman" w:hAnsi="Times New Roman" w:eastAsia="方正仿宋简体"/>
          <w:sz w:val="32"/>
          <w:szCs w:val="32"/>
        </w:rPr>
        <w:t>级政府性基金预算收入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330000</w:t>
      </w:r>
      <w:r>
        <w:rPr>
          <w:rFonts w:ascii="Times New Roman" w:hAnsi="Times New Roman" w:eastAsia="方正仿宋简体"/>
          <w:sz w:val="32"/>
          <w:szCs w:val="32"/>
        </w:rPr>
        <w:t>万元，</w:t>
      </w:r>
      <w:r>
        <w:rPr>
          <w:rFonts w:hint="eastAsia" w:ascii="Times New Roman" w:hAnsi="Times New Roman" w:eastAsia="方正仿宋简体"/>
          <w:sz w:val="32"/>
          <w:szCs w:val="32"/>
        </w:rPr>
        <w:t>加</w:t>
      </w:r>
      <w:r>
        <w:rPr>
          <w:rFonts w:ascii="Times New Roman" w:hAnsi="Times New Roman" w:eastAsia="方正仿宋简体"/>
          <w:sz w:val="32"/>
          <w:szCs w:val="32"/>
        </w:rPr>
        <w:t>上级补助收入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13277</w:t>
      </w:r>
      <w:r>
        <w:rPr>
          <w:rFonts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/>
          <w:sz w:val="32"/>
          <w:szCs w:val="32"/>
        </w:rPr>
        <w:t>专项债务转贷收入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137588</w:t>
      </w:r>
      <w:r>
        <w:rPr>
          <w:rFonts w:hint="eastAsia"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、上年结转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7208万元</w:t>
      </w:r>
      <w:r>
        <w:rPr>
          <w:rFonts w:hint="eastAsia" w:ascii="Times New Roman" w:hAnsi="Times New Roman" w:eastAsia="方正仿宋简体"/>
          <w:sz w:val="32"/>
          <w:szCs w:val="32"/>
        </w:rPr>
        <w:t>，减</w:t>
      </w:r>
      <w:r>
        <w:rPr>
          <w:rFonts w:ascii="Times New Roman" w:hAnsi="Times New Roman" w:eastAsia="方正仿宋简体"/>
          <w:sz w:val="32"/>
          <w:szCs w:val="32"/>
        </w:rPr>
        <w:t>专项债券还本支出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130488</w:t>
      </w:r>
      <w:r>
        <w:rPr>
          <w:rFonts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、上解支出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2250万元、补助乡镇支出20059万元和调出资金40000万元</w:t>
      </w:r>
      <w:r>
        <w:rPr>
          <w:rFonts w:hint="eastAsia" w:ascii="Times New Roman" w:hAnsi="Times New Roman" w:eastAsia="方正仿宋简体"/>
          <w:sz w:val="32"/>
          <w:szCs w:val="32"/>
        </w:rPr>
        <w:t>后，</w:t>
      </w:r>
      <w:r>
        <w:rPr>
          <w:rFonts w:ascii="Times New Roman" w:hAnsi="Times New Roman" w:eastAsia="方正仿宋简体"/>
          <w:sz w:val="32"/>
          <w:szCs w:val="32"/>
        </w:rPr>
        <w:t>可安排财力为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295276</w:t>
      </w:r>
      <w:r>
        <w:rPr>
          <w:rFonts w:ascii="Times New Roman" w:hAnsi="Times New Roman" w:eastAsia="方正仿宋简体"/>
          <w:sz w:val="32"/>
          <w:szCs w:val="32"/>
        </w:rPr>
        <w:t>万元。按照以收定支和收支平衡原则，安排县级政府性基金预算支出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295276</w:t>
      </w:r>
      <w:r>
        <w:rPr>
          <w:rFonts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主要调整事项如下：</w:t>
      </w:r>
    </w:p>
    <w:p>
      <w:pPr>
        <w:snapToGrid w:val="0"/>
        <w:spacing w:line="580" w:lineRule="exact"/>
        <w:ind w:firstLine="642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级政府性基金预算收入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调增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47000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根据当前国有土地出让收入完成及全年预期情况，</w:t>
      </w:r>
      <w:r>
        <w:rPr>
          <w:rFonts w:hint="eastAsia" w:ascii="Times New Roman" w:hAnsi="Times New Roman" w:eastAsia="方正仿宋简体"/>
          <w:sz w:val="32"/>
          <w:szCs w:val="32"/>
        </w:rPr>
        <w:t>国有土地使用权出让金收入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预算调增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49280万元、城市配套费收入调减1640万元和污水处理费收入调减640万元，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政府性基金预算收入调增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47000万元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。</w:t>
      </w:r>
    </w:p>
    <w:p>
      <w:pPr>
        <w:snapToGrid w:val="0"/>
        <w:spacing w:line="580" w:lineRule="exact"/>
        <w:ind w:firstLine="642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上级补助收入调增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13277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/>
          <w:sz w:val="32"/>
          <w:szCs w:val="32"/>
        </w:rPr>
        <w:t>专项转移支付收入增加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13277</w:t>
      </w:r>
      <w:r>
        <w:rPr>
          <w:rFonts w:hint="eastAsia" w:ascii="Times New Roman" w:hAnsi="Times New Roman" w:eastAsia="方正仿宋简体"/>
          <w:sz w:val="32"/>
          <w:szCs w:val="32"/>
        </w:rPr>
        <w:t>万元。</w:t>
      </w:r>
    </w:p>
    <w:p>
      <w:pPr>
        <w:snapToGrid w:val="0"/>
        <w:spacing w:line="580" w:lineRule="exact"/>
        <w:ind w:firstLine="642" w:firstLineChars="200"/>
        <w:rPr>
          <w:rFonts w:hint="default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专项债券转贷收入调增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137588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/>
          <w:sz w:val="32"/>
          <w:szCs w:val="32"/>
        </w:rPr>
        <w:t>为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专项债券转贷收入，其中：新增专项债券资金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10000万元。</w:t>
      </w:r>
    </w:p>
    <w:p>
      <w:pPr>
        <w:snapToGrid w:val="0"/>
        <w:spacing w:line="580" w:lineRule="exact"/>
        <w:ind w:firstLine="642" w:firstLineChars="200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调出资金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调减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48592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根据2023年土地出让收入完成及政府性基金预算支出情况，政府性基金预算调出资金调减48592万元。</w:t>
      </w:r>
    </w:p>
    <w:p>
      <w:pPr>
        <w:snapToGrid w:val="0"/>
        <w:spacing w:line="580" w:lineRule="exact"/>
        <w:ind w:firstLine="642" w:firstLineChars="200"/>
        <w:rPr>
          <w:rFonts w:hint="default" w:ascii="Times New Roman" w:hAnsi="Times New Roman" w:eastAsia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上解支出调增290万元。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根据2023年土地出让收入完成规模，对于调增上解支出290万元。</w:t>
      </w:r>
    </w:p>
    <w:p>
      <w:pPr>
        <w:snapToGrid w:val="0"/>
        <w:spacing w:line="580" w:lineRule="exact"/>
        <w:ind w:firstLine="642" w:firstLineChars="200"/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补助下级支出调增20059万元。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根据乡镇实际支出情况，调增乡镇支出20059万元。</w:t>
      </w:r>
    </w:p>
    <w:p>
      <w:pPr>
        <w:snapToGrid w:val="0"/>
        <w:spacing w:line="580" w:lineRule="exact"/>
        <w:ind w:firstLine="642" w:firstLineChars="200"/>
        <w:rPr>
          <w:rFonts w:hint="default" w:ascii="Times New Roman" w:hAnsi="Times New Roman" w:eastAsia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债务还本支出调增127588万元。</w:t>
      </w:r>
      <w:r>
        <w:rPr>
          <w:rFonts w:hint="eastAsia" w:ascii="Times New Roman" w:hAnsi="Times New Roman" w:eastAsia="方正仿宋简体"/>
          <w:sz w:val="32"/>
          <w:szCs w:val="32"/>
        </w:rPr>
        <w:t>为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专项债券转贷收入对应安排还本支出。</w:t>
      </w:r>
    </w:p>
    <w:p>
      <w:pPr>
        <w:snapToGrid w:val="0"/>
        <w:spacing w:line="580" w:lineRule="exact"/>
        <w:ind w:firstLine="642" w:firstLineChars="200"/>
        <w:rPr>
          <w:rFonts w:hint="eastAsia" w:ascii="Times New Roman" w:hAnsi="Times New Roman" w:eastAsia="方正仿宋简体"/>
          <w:sz w:val="32"/>
          <w:szCs w:val="32"/>
          <w:highlight w:val="none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政府性基金预算支出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调增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105278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其中：上级专项转移支付收入增加支出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13277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万元，新增专项债券转贷资金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eastAsia="zh-CN"/>
        </w:rPr>
        <w:t>调增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支出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10000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调出资金调增支出48592万元，新增财力安排支出47000万元（本级收入增加），上年结转7208万元，减去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eastAsia="zh-CN"/>
        </w:rPr>
        <w:t>补助下级（乡镇支出）调增支出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20059万</w:t>
      </w:r>
      <w:bookmarkStart w:id="0" w:name="_GoBack"/>
      <w:bookmarkEnd w:id="0"/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元、上解支出增加290万元，政府性基金预算支出调整为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295276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。</w:t>
      </w:r>
    </w:p>
    <w:p>
      <w:pPr>
        <w:snapToGrid w:val="0"/>
        <w:spacing w:line="580" w:lineRule="exact"/>
        <w:ind w:firstLine="642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（三）国有资本经营预算调整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adjustRightInd w:val="0"/>
        <w:spacing w:line="580" w:lineRule="exact"/>
        <w:ind w:firstLine="642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2023年1月9日安岳县第十七届人民代表大会第三次会议第三次全体会议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批准的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国有资本经营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预算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：</w:t>
      </w:r>
      <w:r>
        <w:rPr>
          <w:rFonts w:ascii="Times New Roman" w:hAnsi="Times New Roman" w:eastAsia="方正仿宋简体"/>
          <w:sz w:val="32"/>
          <w:szCs w:val="32"/>
        </w:rPr>
        <w:t>县级国有资本经营收入预算425万元（县柠都自来水公司当年预计股利、股息收入）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  <w:r>
        <w:rPr>
          <w:rFonts w:ascii="Times New Roman" w:hAnsi="Times New Roman" w:eastAsia="方正仿宋简体"/>
          <w:sz w:val="32"/>
          <w:szCs w:val="32"/>
        </w:rPr>
        <w:t>按照收支平衡原则，安排国有资本经营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支出</w:t>
      </w:r>
      <w:r>
        <w:rPr>
          <w:rFonts w:ascii="Times New Roman" w:hAnsi="Times New Roman" w:eastAsia="方正仿宋简体"/>
          <w:sz w:val="32"/>
          <w:szCs w:val="32"/>
        </w:rPr>
        <w:t>预算425万元。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jc w:val="left"/>
        <w:textAlignment w:val="auto"/>
        <w:rPr>
          <w:rFonts w:hint="eastAsia" w:ascii="Times New Roman" w:hAnsi="Times New Roman" w:eastAsia="方正仿宋简体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本次拟调整：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highlight w:val="none"/>
          <w:lang w:val="en-US" w:eastAsia="zh-CN" w:bidi="ar-SA"/>
        </w:rPr>
        <w:t>结合国有资本经营预算收入实际，全县国有资本经营预算收入预算调整为0万元，全县国有资本经营预算支出预算调整为158万元（其中：上级专款对应安排支出51万元、上年结转对应安排支出107万元）。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以上202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3</w:t>
      </w:r>
      <w:r>
        <w:rPr>
          <w:rFonts w:hint="eastAsia" w:ascii="Times New Roman" w:hAnsi="Times New Roman" w:eastAsia="方正仿宋简体"/>
          <w:sz w:val="32"/>
        </w:rPr>
        <w:t>年</w:t>
      </w:r>
      <w:r>
        <w:rPr>
          <w:rFonts w:ascii="Times New Roman" w:hAnsi="Times New Roman" w:eastAsia="方正仿宋简体"/>
          <w:sz w:val="32"/>
        </w:rPr>
        <w:t>县级</w:t>
      </w:r>
      <w:r>
        <w:rPr>
          <w:rFonts w:hint="eastAsia" w:ascii="Times New Roman" w:hAnsi="Times New Roman" w:eastAsia="方正仿宋简体"/>
          <w:sz w:val="32"/>
        </w:rPr>
        <w:t>一般公共</w:t>
      </w:r>
      <w:r>
        <w:rPr>
          <w:rFonts w:ascii="Times New Roman" w:hAnsi="Times New Roman" w:eastAsia="方正仿宋简体"/>
          <w:sz w:val="32"/>
        </w:rPr>
        <w:t>预算调整方案</w:t>
      </w:r>
      <w:r>
        <w:rPr>
          <w:rFonts w:hint="eastAsia" w:ascii="Times New Roman" w:hAnsi="Times New Roman" w:eastAsia="方正仿宋简体"/>
          <w:sz w:val="32"/>
        </w:rPr>
        <w:t>、</w:t>
      </w:r>
      <w:r>
        <w:rPr>
          <w:rFonts w:ascii="Times New Roman" w:hAnsi="Times New Roman" w:eastAsia="方正仿宋简体"/>
          <w:sz w:val="32"/>
        </w:rPr>
        <w:t>县政府性基金预算调整方案</w:t>
      </w:r>
      <w:r>
        <w:rPr>
          <w:rFonts w:hint="eastAsia" w:ascii="Times New Roman" w:hAnsi="Times New Roman" w:eastAsia="方正仿宋简体"/>
          <w:sz w:val="32"/>
        </w:rPr>
        <w:t>和国有资本经营预算调整方案</w:t>
      </w:r>
      <w:r>
        <w:rPr>
          <w:rFonts w:ascii="Times New Roman" w:hAnsi="Times New Roman" w:eastAsia="方正仿宋简体"/>
          <w:sz w:val="32"/>
        </w:rPr>
        <w:t>，请予</w:t>
      </w:r>
      <w:r>
        <w:rPr>
          <w:rFonts w:hint="eastAsia" w:ascii="Times New Roman" w:hAnsi="Times New Roman" w:eastAsia="方正仿宋简体"/>
          <w:sz w:val="32"/>
        </w:rPr>
        <w:t>审查</w:t>
      </w:r>
      <w:r>
        <w:rPr>
          <w:rFonts w:ascii="Times New Roman" w:hAnsi="Times New Roman" w:eastAsia="方正仿宋简体"/>
          <w:sz w:val="32"/>
        </w:rPr>
        <w:t>批准。</w:t>
      </w:r>
    </w:p>
    <w:p>
      <w:pPr>
        <w:pStyle w:val="2"/>
        <w:rPr>
          <w:rFonts w:hint="default"/>
          <w:lang w:val="en-US" w:eastAsia="zh-CN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方正仿宋简体" w:cs="Times New Roman"/>
          <w:sz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588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onospace">
    <w:altName w:val="华文中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- 1 -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I5MDNmZDkwMTdmNWY2NjkxYmQ1ZDkxOWQwZmFiM2YifQ=="/>
  </w:docVars>
  <w:rsids>
    <w:rsidRoot w:val="4F5C1E0C"/>
    <w:rsid w:val="00023C59"/>
    <w:rsid w:val="001033B6"/>
    <w:rsid w:val="00137A35"/>
    <w:rsid w:val="001513B1"/>
    <w:rsid w:val="0018556A"/>
    <w:rsid w:val="00186ED9"/>
    <w:rsid w:val="001C5AE3"/>
    <w:rsid w:val="0020028F"/>
    <w:rsid w:val="00235BCC"/>
    <w:rsid w:val="003508DC"/>
    <w:rsid w:val="003D55ED"/>
    <w:rsid w:val="00465102"/>
    <w:rsid w:val="004C010B"/>
    <w:rsid w:val="00500D9B"/>
    <w:rsid w:val="005136D0"/>
    <w:rsid w:val="00586685"/>
    <w:rsid w:val="005A53D5"/>
    <w:rsid w:val="005F11FA"/>
    <w:rsid w:val="00687CC2"/>
    <w:rsid w:val="00766E92"/>
    <w:rsid w:val="00773ACF"/>
    <w:rsid w:val="00836A15"/>
    <w:rsid w:val="008C4C65"/>
    <w:rsid w:val="008D4A4E"/>
    <w:rsid w:val="00975480"/>
    <w:rsid w:val="00A07E3E"/>
    <w:rsid w:val="00A13ABB"/>
    <w:rsid w:val="00A4037B"/>
    <w:rsid w:val="00A65CBC"/>
    <w:rsid w:val="00A93023"/>
    <w:rsid w:val="00AA1216"/>
    <w:rsid w:val="00BA4D57"/>
    <w:rsid w:val="00BA7CE5"/>
    <w:rsid w:val="00C00842"/>
    <w:rsid w:val="00C40879"/>
    <w:rsid w:val="00C43480"/>
    <w:rsid w:val="00C4627B"/>
    <w:rsid w:val="00C56F1D"/>
    <w:rsid w:val="00CB1598"/>
    <w:rsid w:val="00D35096"/>
    <w:rsid w:val="00D44E78"/>
    <w:rsid w:val="00E34C12"/>
    <w:rsid w:val="00EA177F"/>
    <w:rsid w:val="00EC09C6"/>
    <w:rsid w:val="00F7115B"/>
    <w:rsid w:val="00FD065B"/>
    <w:rsid w:val="00FD2807"/>
    <w:rsid w:val="03085220"/>
    <w:rsid w:val="04FA21E4"/>
    <w:rsid w:val="05C85C67"/>
    <w:rsid w:val="06056C22"/>
    <w:rsid w:val="07EF50B9"/>
    <w:rsid w:val="08A35246"/>
    <w:rsid w:val="09A41F78"/>
    <w:rsid w:val="0A4759C6"/>
    <w:rsid w:val="0AF213EF"/>
    <w:rsid w:val="0B45148D"/>
    <w:rsid w:val="0DCC153C"/>
    <w:rsid w:val="0E961AD9"/>
    <w:rsid w:val="10525272"/>
    <w:rsid w:val="111F40E1"/>
    <w:rsid w:val="13412CF8"/>
    <w:rsid w:val="136A02FD"/>
    <w:rsid w:val="137A3915"/>
    <w:rsid w:val="17E8249F"/>
    <w:rsid w:val="17F9691E"/>
    <w:rsid w:val="1AFA0B5F"/>
    <w:rsid w:val="1BDA5760"/>
    <w:rsid w:val="1D141C25"/>
    <w:rsid w:val="1E534A14"/>
    <w:rsid w:val="1FBA6533"/>
    <w:rsid w:val="20042245"/>
    <w:rsid w:val="213B6C2D"/>
    <w:rsid w:val="226C7B2D"/>
    <w:rsid w:val="25B91B37"/>
    <w:rsid w:val="25EE1B7E"/>
    <w:rsid w:val="262D2278"/>
    <w:rsid w:val="26E425C4"/>
    <w:rsid w:val="27603CDC"/>
    <w:rsid w:val="2A2C7E65"/>
    <w:rsid w:val="2AE9093C"/>
    <w:rsid w:val="2E8228B2"/>
    <w:rsid w:val="2EC54ACC"/>
    <w:rsid w:val="2EEC665B"/>
    <w:rsid w:val="30A77F96"/>
    <w:rsid w:val="347137FA"/>
    <w:rsid w:val="358C0F85"/>
    <w:rsid w:val="377B1A57"/>
    <w:rsid w:val="38AB7598"/>
    <w:rsid w:val="392842E7"/>
    <w:rsid w:val="39DB4BE4"/>
    <w:rsid w:val="39F14824"/>
    <w:rsid w:val="3A011BA5"/>
    <w:rsid w:val="3A7F6D52"/>
    <w:rsid w:val="3AE3063D"/>
    <w:rsid w:val="3BB14E0C"/>
    <w:rsid w:val="3BEECC05"/>
    <w:rsid w:val="3C965935"/>
    <w:rsid w:val="3D792EE8"/>
    <w:rsid w:val="3D7B0856"/>
    <w:rsid w:val="3DC11AB0"/>
    <w:rsid w:val="3E7E051C"/>
    <w:rsid w:val="3EF07491"/>
    <w:rsid w:val="3EFADB49"/>
    <w:rsid w:val="3F0926D0"/>
    <w:rsid w:val="3FD7F203"/>
    <w:rsid w:val="4024737C"/>
    <w:rsid w:val="404248DA"/>
    <w:rsid w:val="406C4EF6"/>
    <w:rsid w:val="40CD2B35"/>
    <w:rsid w:val="419A3B4A"/>
    <w:rsid w:val="43501710"/>
    <w:rsid w:val="445D3D77"/>
    <w:rsid w:val="45601142"/>
    <w:rsid w:val="47BE6B2F"/>
    <w:rsid w:val="48F20518"/>
    <w:rsid w:val="49E45211"/>
    <w:rsid w:val="4A245C7A"/>
    <w:rsid w:val="4B0372FD"/>
    <w:rsid w:val="4B38686B"/>
    <w:rsid w:val="4C7E13E3"/>
    <w:rsid w:val="4CBB220D"/>
    <w:rsid w:val="4EB33032"/>
    <w:rsid w:val="4EB47FE1"/>
    <w:rsid w:val="4EC9349F"/>
    <w:rsid w:val="4ED5312E"/>
    <w:rsid w:val="4F5C1E0C"/>
    <w:rsid w:val="4F707403"/>
    <w:rsid w:val="538A5361"/>
    <w:rsid w:val="53C423E8"/>
    <w:rsid w:val="53D43AC2"/>
    <w:rsid w:val="59A407E2"/>
    <w:rsid w:val="5B7026C4"/>
    <w:rsid w:val="5B7DE201"/>
    <w:rsid w:val="5BD30749"/>
    <w:rsid w:val="5C783146"/>
    <w:rsid w:val="5D3B150A"/>
    <w:rsid w:val="5D516E72"/>
    <w:rsid w:val="5E777EAE"/>
    <w:rsid w:val="61DB2F98"/>
    <w:rsid w:val="62590FB0"/>
    <w:rsid w:val="64904B9C"/>
    <w:rsid w:val="64EA0602"/>
    <w:rsid w:val="65D474B0"/>
    <w:rsid w:val="673213DD"/>
    <w:rsid w:val="69AB32A7"/>
    <w:rsid w:val="6A397451"/>
    <w:rsid w:val="6DFC5891"/>
    <w:rsid w:val="70BB4A21"/>
    <w:rsid w:val="71337F89"/>
    <w:rsid w:val="71C94ACA"/>
    <w:rsid w:val="72EB631F"/>
    <w:rsid w:val="72FB88FA"/>
    <w:rsid w:val="73920719"/>
    <w:rsid w:val="75A76935"/>
    <w:rsid w:val="75D340C6"/>
    <w:rsid w:val="76275BDE"/>
    <w:rsid w:val="768D37F5"/>
    <w:rsid w:val="77BC3CB1"/>
    <w:rsid w:val="79134AC2"/>
    <w:rsid w:val="7926677E"/>
    <w:rsid w:val="795519B9"/>
    <w:rsid w:val="798F6071"/>
    <w:rsid w:val="79A40D9F"/>
    <w:rsid w:val="7A7B2143"/>
    <w:rsid w:val="7ACC534D"/>
    <w:rsid w:val="7B2D2486"/>
    <w:rsid w:val="7B9D56C9"/>
    <w:rsid w:val="7BFA6D47"/>
    <w:rsid w:val="7C546C25"/>
    <w:rsid w:val="7D3A784B"/>
    <w:rsid w:val="7E703CAA"/>
    <w:rsid w:val="7EDE68CC"/>
    <w:rsid w:val="7FF72639"/>
    <w:rsid w:val="9EBF18AD"/>
    <w:rsid w:val="CEFF596F"/>
    <w:rsid w:val="ED5D3789"/>
    <w:rsid w:val="EEF75986"/>
    <w:rsid w:val="F6EF5D1B"/>
    <w:rsid w:val="F7BB6107"/>
    <w:rsid w:val="F7EF38DB"/>
    <w:rsid w:val="FFFA8591"/>
    <w:rsid w:val="FFFF97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  <w:rPr>
      <w:i/>
    </w:rPr>
  </w:style>
  <w:style w:type="character" w:styleId="12">
    <w:name w:val="HTML Definition"/>
    <w:basedOn w:val="7"/>
    <w:qFormat/>
    <w:uiPriority w:val="0"/>
    <w:rPr>
      <w:i/>
    </w:rPr>
  </w:style>
  <w:style w:type="character" w:styleId="13">
    <w:name w:val="HTML Acronym"/>
    <w:basedOn w:val="7"/>
    <w:qFormat/>
    <w:uiPriority w:val="0"/>
  </w:style>
  <w:style w:type="character" w:styleId="14">
    <w:name w:val="Hyperlink"/>
    <w:basedOn w:val="7"/>
    <w:qFormat/>
    <w:uiPriority w:val="0"/>
    <w:rPr>
      <w:color w:val="333333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8">
    <w:name w:val="tmpztreemove_arrow"/>
    <w:basedOn w:val="7"/>
    <w:qFormat/>
    <w:uiPriority w:val="0"/>
  </w:style>
  <w:style w:type="character" w:customStyle="1" w:styleId="19">
    <w:name w:val="hover37"/>
    <w:basedOn w:val="7"/>
    <w:qFormat/>
    <w:uiPriority w:val="0"/>
    <w:rPr>
      <w:color w:val="005AA2"/>
    </w:rPr>
  </w:style>
  <w:style w:type="character" w:customStyle="1" w:styleId="20">
    <w:name w:val="prev5"/>
    <w:basedOn w:val="7"/>
    <w:qFormat/>
    <w:uiPriority w:val="0"/>
  </w:style>
  <w:style w:type="character" w:customStyle="1" w:styleId="21">
    <w:name w:val="next5"/>
    <w:basedOn w:val="7"/>
    <w:qFormat/>
    <w:uiPriority w:val="0"/>
  </w:style>
  <w:style w:type="character" w:customStyle="1" w:styleId="22">
    <w:name w:val="button"/>
    <w:basedOn w:val="7"/>
    <w:qFormat/>
    <w:uiPriority w:val="0"/>
  </w:style>
  <w:style w:type="character" w:customStyle="1" w:styleId="23">
    <w:name w:val="hover36"/>
    <w:basedOn w:val="7"/>
    <w:qFormat/>
    <w:uiPriority w:val="0"/>
    <w:rPr>
      <w:color w:val="005AA2"/>
    </w:rPr>
  </w:style>
  <w:style w:type="character" w:customStyle="1" w:styleId="24">
    <w:name w:val="prev1"/>
    <w:basedOn w:val="7"/>
    <w:qFormat/>
    <w:uiPriority w:val="0"/>
  </w:style>
  <w:style w:type="character" w:customStyle="1" w:styleId="25">
    <w:name w:val="next4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1666</Words>
  <Characters>2001</Characters>
  <Lines>16</Lines>
  <Paragraphs>4</Paragraphs>
  <TotalTime>2</TotalTime>
  <ScaleCrop>false</ScaleCrop>
  <LinksUpToDate>false</LinksUpToDate>
  <CharactersWithSpaces>2001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2015-11-06T18:59:00Z</dcterms:created>
  <dc:creator>nobody</dc:creator>
  <cp:lastModifiedBy>user</cp:lastModifiedBy>
  <cp:lastPrinted>2022-12-26T01:53:00Z</cp:lastPrinted>
  <dcterms:modified xsi:type="dcterms:W3CDTF">2023-12-20T18:09:42Z</dcterms:modified>
  <dc:title>安岳县人民政府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98580E89BB194462AB1AEFB403AE2C76</vt:lpwstr>
  </property>
</Properties>
</file>